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4FA2" w14:textId="77777777" w:rsidR="00474236" w:rsidRPr="008C2843" w:rsidRDefault="00474236" w:rsidP="00FC3619">
      <w:pPr>
        <w:pStyle w:val="DocumentTitle"/>
        <w:spacing w:line="276" w:lineRule="auto"/>
        <w:rPr>
          <w:rFonts w:cs="Arial"/>
          <w:sz w:val="20"/>
          <w:szCs w:val="20"/>
        </w:rPr>
      </w:pPr>
      <w:r w:rsidRPr="008C2843">
        <w:rPr>
          <w:rFonts w:cs="Arial"/>
          <w:sz w:val="20"/>
          <w:szCs w:val="20"/>
        </w:rPr>
        <w:t>MEMORANDUM OF UNDERSTANDING</w:t>
      </w:r>
    </w:p>
    <w:p w14:paraId="733F4A2C" w14:textId="77777777" w:rsidR="001A5353" w:rsidRPr="008C2843" w:rsidRDefault="001A5353" w:rsidP="001A5353">
      <w:pPr>
        <w:pStyle w:val="Body"/>
        <w:spacing w:line="276" w:lineRule="auto"/>
        <w:rPr>
          <w:rFonts w:cs="Arial"/>
          <w:szCs w:val="20"/>
        </w:rPr>
      </w:pPr>
      <w:r w:rsidRPr="008C2843">
        <w:rPr>
          <w:rFonts w:cs="Arial"/>
          <w:szCs w:val="20"/>
        </w:rPr>
        <w:t>This MEMORANDUM OF UNDERSTANDING (“MOU”) is entered on &lt;&lt;date&gt;&gt; by and between:</w:t>
      </w:r>
    </w:p>
    <w:p w14:paraId="45717CA1" w14:textId="2065B342" w:rsidR="001A5353" w:rsidRPr="008C2843" w:rsidRDefault="001A5353" w:rsidP="001A5353">
      <w:pPr>
        <w:pStyle w:val="Body"/>
        <w:numPr>
          <w:ilvl w:val="0"/>
          <w:numId w:val="11"/>
        </w:numPr>
        <w:spacing w:line="276" w:lineRule="auto"/>
        <w:rPr>
          <w:rFonts w:cs="Arial"/>
          <w:szCs w:val="20"/>
        </w:rPr>
      </w:pPr>
      <w:r w:rsidRPr="008C2843">
        <w:rPr>
          <w:rFonts w:cs="Arial"/>
          <w:szCs w:val="20"/>
        </w:rPr>
        <w:t>Tamil Nadu Skill Development Corporation, the nodal agency for skill development in Tamil Nadu, functioning as a Corporation under the Labour and Employment Department, Government of Tamil Nadu since 2013, having its office at Integrated Employment Offices Campus (1st Floor), Thiru. Vi. Ka Industrial Estate, Guindy, Chennai, Tamil Nadu - 600032 (hereinafter referred to as “TNSDC”).</w:t>
      </w:r>
    </w:p>
    <w:p w14:paraId="2DC71889" w14:textId="5D1F1C20" w:rsidR="001A5353" w:rsidRPr="008C2843" w:rsidRDefault="00EC5E3C" w:rsidP="001A5353">
      <w:pPr>
        <w:pStyle w:val="Body"/>
        <w:numPr>
          <w:ilvl w:val="0"/>
          <w:numId w:val="11"/>
        </w:numPr>
        <w:spacing w:line="276" w:lineRule="auto"/>
        <w:rPr>
          <w:rFonts w:cs="Arial"/>
          <w:szCs w:val="20"/>
        </w:rPr>
      </w:pPr>
      <w:r w:rsidRPr="008C2843">
        <w:rPr>
          <w:rFonts w:cs="Arial"/>
          <w:b/>
          <w:szCs w:val="20"/>
          <w:highlight w:val="yellow"/>
        </w:rPr>
        <w:t>Party 1</w:t>
      </w:r>
      <w:r w:rsidR="001A5353" w:rsidRPr="008C2843">
        <w:rPr>
          <w:rFonts w:cs="Arial"/>
          <w:szCs w:val="20"/>
        </w:rPr>
        <w:t xml:space="preserve">, </w:t>
      </w:r>
      <w:r w:rsidR="00533846" w:rsidRPr="00533846">
        <w:rPr>
          <w:rFonts w:cs="Arial"/>
          <w:szCs w:val="20"/>
          <w:highlight w:val="yellow"/>
        </w:rPr>
        <w:t>Address</w:t>
      </w:r>
      <w:r w:rsidR="001A5353" w:rsidRPr="008C2843">
        <w:rPr>
          <w:rFonts w:cs="Arial"/>
          <w:szCs w:val="20"/>
        </w:rPr>
        <w:t xml:space="preserve"> (hereinafter referred to as “</w:t>
      </w:r>
      <w:r w:rsidR="009F2FCA" w:rsidRPr="008C2843">
        <w:rPr>
          <w:rFonts w:cs="Arial"/>
          <w:b/>
          <w:szCs w:val="20"/>
          <w:highlight w:val="yellow"/>
        </w:rPr>
        <w:t>Party 1</w:t>
      </w:r>
      <w:r w:rsidR="001A5353" w:rsidRPr="008C2843">
        <w:rPr>
          <w:rFonts w:cs="Arial"/>
          <w:szCs w:val="20"/>
        </w:rPr>
        <w:t>”).</w:t>
      </w:r>
    </w:p>
    <w:p w14:paraId="3D6C13E8" w14:textId="08762AAA" w:rsidR="007B634C" w:rsidRPr="008C2843" w:rsidRDefault="00EC5E3C" w:rsidP="00EC5E3C">
      <w:pPr>
        <w:pStyle w:val="Body"/>
        <w:spacing w:line="276" w:lineRule="auto"/>
        <w:rPr>
          <w:rFonts w:cs="Arial"/>
          <w:szCs w:val="20"/>
        </w:rPr>
      </w:pPr>
      <w:r w:rsidRPr="008C2843">
        <w:rPr>
          <w:rFonts w:cs="Arial"/>
          <w:b/>
          <w:szCs w:val="20"/>
          <w:highlight w:val="yellow"/>
        </w:rPr>
        <w:t>Party 1</w:t>
      </w:r>
      <w:r w:rsidR="001A5353" w:rsidRPr="008C2843">
        <w:rPr>
          <w:rFonts w:cs="Arial"/>
          <w:szCs w:val="20"/>
        </w:rPr>
        <w:t xml:space="preserve"> and TNSDC are referred to individually as a “Party” and collectively as “Parties”. Both Parties have reached the following intent</w:t>
      </w:r>
      <w:r w:rsidR="007B634C" w:rsidRPr="008C2843">
        <w:rPr>
          <w:rFonts w:cs="Arial"/>
          <w:szCs w:val="20"/>
        </w:rPr>
        <w:t>.</w:t>
      </w:r>
    </w:p>
    <w:p w14:paraId="0B6F99D0" w14:textId="29F7F80F" w:rsidR="00474236" w:rsidRPr="008C2843" w:rsidRDefault="00474236" w:rsidP="00FC3619">
      <w:pPr>
        <w:spacing w:line="276" w:lineRule="auto"/>
        <w:rPr>
          <w:rFonts w:cs="Arial"/>
          <w:szCs w:val="20"/>
        </w:rPr>
      </w:pPr>
    </w:p>
    <w:p w14:paraId="19001AA0" w14:textId="3AE7A287" w:rsidR="00AA13FF" w:rsidRPr="008C2843" w:rsidRDefault="00474236" w:rsidP="00EC5E3C">
      <w:pPr>
        <w:pStyle w:val="BodyText"/>
        <w:keepNext/>
        <w:widowControl/>
        <w:numPr>
          <w:ilvl w:val="0"/>
          <w:numId w:val="1"/>
        </w:numPr>
        <w:spacing w:line="276" w:lineRule="auto"/>
        <w:ind w:left="432" w:hanging="432"/>
        <w:rPr>
          <w:rFonts w:cs="Arial"/>
          <w:b/>
          <w:sz w:val="20"/>
          <w:lang w:val="en-GB"/>
        </w:rPr>
      </w:pPr>
      <w:r w:rsidRPr="008C2843">
        <w:rPr>
          <w:rFonts w:cs="Arial"/>
          <w:b/>
          <w:sz w:val="20"/>
        </w:rPr>
        <w:t>BACKGROUND:</w:t>
      </w:r>
    </w:p>
    <w:p w14:paraId="7F1B055A" w14:textId="77777777" w:rsidR="00EC5E3C" w:rsidRPr="008C2843" w:rsidRDefault="00EC5E3C" w:rsidP="00EC5E3C">
      <w:pPr>
        <w:pStyle w:val="BodyTextIndent2"/>
        <w:widowControl w:val="0"/>
        <w:suppressAutoHyphens/>
        <w:spacing w:after="0" w:line="240" w:lineRule="auto"/>
        <w:ind w:left="0"/>
        <w:jc w:val="both"/>
        <w:rPr>
          <w:rFonts w:cs="Arial"/>
          <w:b/>
          <w:szCs w:val="20"/>
        </w:rPr>
      </w:pPr>
    </w:p>
    <w:p w14:paraId="287F53F8" w14:textId="4CEEC57C" w:rsidR="00EC5E3C" w:rsidRPr="008C2843" w:rsidRDefault="00CA3218" w:rsidP="00EC5E3C">
      <w:pPr>
        <w:pStyle w:val="BodyTextIndent2"/>
        <w:widowControl w:val="0"/>
        <w:suppressAutoHyphens/>
        <w:spacing w:after="0" w:line="240" w:lineRule="auto"/>
        <w:ind w:left="0"/>
        <w:jc w:val="both"/>
        <w:rPr>
          <w:rFonts w:asciiTheme="minorHAnsi" w:hAnsiTheme="minorHAnsi" w:cstheme="minorHAnsi"/>
          <w:b/>
          <w:color w:val="000000" w:themeColor="text1"/>
          <w:szCs w:val="20"/>
          <w:u w:val="single"/>
          <w:lang w:val="en-US" w:eastAsia="ar-SA"/>
        </w:rPr>
      </w:pPr>
      <w:r w:rsidRPr="008C2843">
        <w:rPr>
          <w:rFonts w:cs="Arial"/>
          <w:b/>
          <w:szCs w:val="20"/>
        </w:rPr>
        <w:t xml:space="preserve">1.1 </w:t>
      </w:r>
      <w:r w:rsidR="006E023E" w:rsidRPr="008C2843">
        <w:rPr>
          <w:rFonts w:cs="Arial"/>
          <w:b/>
          <w:szCs w:val="20"/>
        </w:rPr>
        <w:tab/>
      </w:r>
      <w:r w:rsidR="00EC5E3C" w:rsidRPr="008C2843">
        <w:rPr>
          <w:rFonts w:cs="Arial"/>
          <w:b/>
          <w:color w:val="000000" w:themeColor="text1"/>
          <w:szCs w:val="20"/>
          <w:lang w:val="en-IN" w:eastAsia="en-IN"/>
        </w:rPr>
        <w:t>TNSDC Background</w:t>
      </w:r>
    </w:p>
    <w:p w14:paraId="356FCCF9" w14:textId="77777777" w:rsidR="00EC5E3C" w:rsidRPr="008C2843" w:rsidRDefault="00EC5E3C" w:rsidP="00031588">
      <w:pPr>
        <w:pStyle w:val="BodyText"/>
        <w:keepNext/>
        <w:widowControl/>
        <w:spacing w:line="276" w:lineRule="auto"/>
        <w:jc w:val="both"/>
        <w:rPr>
          <w:rFonts w:cs="Arial"/>
          <w:b/>
          <w:sz w:val="20"/>
          <w:lang w:val="en-GB"/>
        </w:rPr>
      </w:pPr>
    </w:p>
    <w:p w14:paraId="5D37E010" w14:textId="1A40725B" w:rsidR="00031588" w:rsidRPr="008C2843" w:rsidRDefault="00AA13FF" w:rsidP="00031588">
      <w:pPr>
        <w:pStyle w:val="BodyText"/>
        <w:keepNext/>
        <w:widowControl/>
        <w:spacing w:line="276" w:lineRule="auto"/>
        <w:jc w:val="both"/>
        <w:rPr>
          <w:rFonts w:cs="Arial"/>
          <w:bCs/>
          <w:sz w:val="20"/>
          <w:lang w:val="en-GB"/>
        </w:rPr>
      </w:pPr>
      <w:r w:rsidRPr="008C2843">
        <w:rPr>
          <w:rFonts w:cs="Arial"/>
          <w:b/>
          <w:sz w:val="20"/>
          <w:lang w:val="en-GB"/>
        </w:rPr>
        <w:t xml:space="preserve">TNSDC </w:t>
      </w:r>
      <w:r w:rsidRPr="008C2843">
        <w:rPr>
          <w:rFonts w:cs="Arial"/>
          <w:bCs/>
          <w:sz w:val="20"/>
          <w:lang w:val="en-GB"/>
        </w:rPr>
        <w:t>was formed with an objective to provide demand-based and industry-relevant skills to the youth to enhance their employability and transform the State into the skill hub of India. TNSDC is the nodal agency for the skill development related activities in the state and it aims to converge the activities of various stakeholders including industries, industrial associations, training partners, sector skill councils, assessment agencies apart from various other State and Central Government bodies. TNSDC strives to ensure placement-oriented quality skill training by empanelling private and Government training partners.</w:t>
      </w:r>
    </w:p>
    <w:p w14:paraId="477EB65A" w14:textId="77777777" w:rsidR="00031588" w:rsidRPr="008C2843" w:rsidRDefault="00031588" w:rsidP="00031588">
      <w:pPr>
        <w:pStyle w:val="BodyText"/>
        <w:keepNext/>
        <w:widowControl/>
        <w:spacing w:line="276" w:lineRule="auto"/>
        <w:jc w:val="both"/>
        <w:rPr>
          <w:rFonts w:cs="Arial"/>
          <w:bCs/>
          <w:sz w:val="20"/>
          <w:lang w:val="en-GB"/>
        </w:rPr>
      </w:pPr>
    </w:p>
    <w:p w14:paraId="4F4547F4" w14:textId="77777777" w:rsidR="00EC5E3C" w:rsidRPr="008C2843" w:rsidRDefault="006E023E" w:rsidP="00031588">
      <w:pPr>
        <w:pStyle w:val="BodyText"/>
        <w:keepNext/>
        <w:widowControl/>
        <w:spacing w:line="276" w:lineRule="auto"/>
        <w:jc w:val="both"/>
        <w:rPr>
          <w:rFonts w:cs="Arial"/>
          <w:b/>
          <w:sz w:val="20"/>
          <w:highlight w:val="yellow"/>
        </w:rPr>
      </w:pPr>
      <w:r w:rsidRPr="008C2843">
        <w:rPr>
          <w:rFonts w:cs="Arial"/>
          <w:b/>
          <w:sz w:val="20"/>
        </w:rPr>
        <w:t>1.2</w:t>
      </w:r>
      <w:r w:rsidR="00474236" w:rsidRPr="008C2843">
        <w:rPr>
          <w:rFonts w:cs="Arial"/>
          <w:b/>
          <w:sz w:val="20"/>
        </w:rPr>
        <w:tab/>
      </w:r>
      <w:r w:rsidRPr="008C2843">
        <w:rPr>
          <w:rFonts w:cs="Arial"/>
          <w:b/>
          <w:sz w:val="20"/>
          <w:highlight w:val="yellow"/>
        </w:rPr>
        <w:t>Party 1</w:t>
      </w:r>
      <w:r w:rsidRPr="008C2843">
        <w:rPr>
          <w:rFonts w:cs="Arial"/>
          <w:b/>
          <w:sz w:val="20"/>
        </w:rPr>
        <w:t xml:space="preserve"> </w:t>
      </w:r>
      <w:r w:rsidRPr="008C2843">
        <w:rPr>
          <w:rFonts w:cs="Arial"/>
          <w:b/>
          <w:sz w:val="20"/>
          <w:highlight w:val="yellow"/>
        </w:rPr>
        <w:t xml:space="preserve">Background </w:t>
      </w:r>
    </w:p>
    <w:p w14:paraId="2EBDF46D" w14:textId="77777777" w:rsidR="00EC5E3C" w:rsidRPr="008C2843" w:rsidRDefault="00EC5E3C" w:rsidP="00031588">
      <w:pPr>
        <w:pStyle w:val="BodyText"/>
        <w:keepNext/>
        <w:widowControl/>
        <w:spacing w:line="276" w:lineRule="auto"/>
        <w:jc w:val="both"/>
        <w:rPr>
          <w:rFonts w:cs="Arial"/>
          <w:b/>
          <w:sz w:val="20"/>
          <w:highlight w:val="yellow"/>
        </w:rPr>
      </w:pPr>
    </w:p>
    <w:p w14:paraId="47AE7292" w14:textId="0BF52552" w:rsidR="00031588" w:rsidRPr="008C2843" w:rsidRDefault="00FA7728" w:rsidP="00031588">
      <w:pPr>
        <w:pStyle w:val="BodyText"/>
        <w:keepNext/>
        <w:widowControl/>
        <w:spacing w:line="276" w:lineRule="auto"/>
        <w:jc w:val="both"/>
        <w:rPr>
          <w:rFonts w:cs="Arial"/>
          <w:b/>
          <w:sz w:val="20"/>
        </w:rPr>
      </w:pPr>
      <w:r w:rsidRPr="008C2843">
        <w:rPr>
          <w:rFonts w:cs="Arial"/>
          <w:b/>
          <w:sz w:val="20"/>
          <w:highlight w:val="yellow"/>
        </w:rPr>
        <w:t>A</w:t>
      </w:r>
      <w:r w:rsidR="006E023E" w:rsidRPr="008C2843">
        <w:rPr>
          <w:rFonts w:cs="Arial"/>
          <w:b/>
          <w:sz w:val="20"/>
          <w:highlight w:val="yellow"/>
        </w:rPr>
        <w:t>bout the company</w:t>
      </w:r>
    </w:p>
    <w:p w14:paraId="3EAEFBBB" w14:textId="77777777" w:rsidR="00031588" w:rsidRPr="008C2843" w:rsidRDefault="00031588" w:rsidP="00031588">
      <w:pPr>
        <w:pStyle w:val="BodyText"/>
        <w:keepNext/>
        <w:widowControl/>
        <w:spacing w:line="276" w:lineRule="auto"/>
        <w:jc w:val="both"/>
        <w:rPr>
          <w:rFonts w:cs="Arial"/>
          <w:b/>
          <w:sz w:val="20"/>
        </w:rPr>
      </w:pPr>
    </w:p>
    <w:p w14:paraId="5FCDF8E9" w14:textId="41A4B348" w:rsidR="00474236" w:rsidRPr="008C2843" w:rsidRDefault="006E023E" w:rsidP="00031588">
      <w:pPr>
        <w:pStyle w:val="BodyText"/>
        <w:keepNext/>
        <w:widowControl/>
        <w:spacing w:line="276" w:lineRule="auto"/>
        <w:jc w:val="both"/>
        <w:rPr>
          <w:rFonts w:cs="Arial"/>
          <w:b/>
          <w:sz w:val="20"/>
          <w:lang w:val="en-GB"/>
        </w:rPr>
      </w:pPr>
      <w:r w:rsidRPr="008C2843">
        <w:rPr>
          <w:rFonts w:cs="Arial"/>
          <w:b/>
          <w:sz w:val="20"/>
        </w:rPr>
        <w:t>1.3</w:t>
      </w:r>
      <w:r w:rsidR="00474236" w:rsidRPr="008C2843">
        <w:rPr>
          <w:rFonts w:cs="Arial"/>
          <w:b/>
          <w:sz w:val="20"/>
        </w:rPr>
        <w:tab/>
      </w:r>
      <w:r w:rsidR="00474236" w:rsidRPr="008C2843">
        <w:rPr>
          <w:rFonts w:cs="Arial"/>
          <w:sz w:val="20"/>
        </w:rPr>
        <w:t>The Parties recognise the capabilities and resources of each Party and wish to explore and assess the feasibility of collaborating with each other on the Project (as defined in Section </w:t>
      </w:r>
      <w:r w:rsidR="00EC5E3C" w:rsidRPr="008C2843">
        <w:rPr>
          <w:rFonts w:cs="Arial"/>
          <w:sz w:val="20"/>
        </w:rPr>
        <w:t>3</w:t>
      </w:r>
      <w:r w:rsidR="00474236" w:rsidRPr="008C2843">
        <w:rPr>
          <w:rFonts w:cs="Arial"/>
          <w:sz w:val="20"/>
        </w:rPr>
        <w:t>).</w:t>
      </w:r>
    </w:p>
    <w:p w14:paraId="4432CAD0" w14:textId="6B9B757C" w:rsidR="00641366" w:rsidRPr="008C2843" w:rsidRDefault="00641366" w:rsidP="00FC3619">
      <w:pPr>
        <w:spacing w:line="276" w:lineRule="auto"/>
        <w:rPr>
          <w:rFonts w:cs="Arial"/>
          <w:szCs w:val="20"/>
        </w:rPr>
      </w:pPr>
    </w:p>
    <w:p w14:paraId="3E58A392" w14:textId="2FE5B069" w:rsidR="00641366" w:rsidRPr="008C2843" w:rsidRDefault="00641366" w:rsidP="00FC3619">
      <w:pPr>
        <w:pStyle w:val="BodyText"/>
        <w:keepNext/>
        <w:widowControl/>
        <w:numPr>
          <w:ilvl w:val="0"/>
          <w:numId w:val="1"/>
        </w:numPr>
        <w:spacing w:line="276" w:lineRule="auto"/>
        <w:ind w:left="432" w:hanging="432"/>
        <w:jc w:val="both"/>
        <w:rPr>
          <w:rFonts w:cs="Arial"/>
          <w:b/>
          <w:sz w:val="20"/>
          <w:lang w:val="en-GB"/>
        </w:rPr>
      </w:pPr>
      <w:r w:rsidRPr="008C2843">
        <w:rPr>
          <w:rFonts w:cs="Arial"/>
          <w:b/>
          <w:sz w:val="20"/>
          <w:lang w:val="en-GB"/>
        </w:rPr>
        <w:t xml:space="preserve">OBJECTIVE </w:t>
      </w:r>
      <w:r w:rsidR="00EC5E3C" w:rsidRPr="008C2843">
        <w:rPr>
          <w:rFonts w:cs="Arial"/>
          <w:b/>
          <w:sz w:val="20"/>
          <w:lang w:val="en-GB"/>
        </w:rPr>
        <w:br/>
      </w:r>
    </w:p>
    <w:p w14:paraId="6987EBF5" w14:textId="77777777" w:rsidR="00641366" w:rsidRPr="008C2843" w:rsidRDefault="00641366" w:rsidP="00EC5E3C">
      <w:pPr>
        <w:pStyle w:val="BodyText"/>
        <w:widowControl/>
        <w:spacing w:after="200" w:line="276" w:lineRule="auto"/>
        <w:jc w:val="both"/>
        <w:rPr>
          <w:rFonts w:cs="Arial"/>
          <w:sz w:val="20"/>
          <w:lang w:val="en-GB"/>
        </w:rPr>
      </w:pPr>
      <w:r w:rsidRPr="008C2843">
        <w:rPr>
          <w:rFonts w:cs="Arial"/>
          <w:sz w:val="20"/>
          <w:lang w:val="en-GB"/>
        </w:rPr>
        <w:t xml:space="preserve">The objective of this MOU is to describe the Parties' current understanding regarding their potential cooperation and collaboration on the Project and to facilitate further discussions related thereto, including by: </w:t>
      </w:r>
    </w:p>
    <w:p w14:paraId="7540179E" w14:textId="0F9AE1B4" w:rsidR="008C2843" w:rsidRPr="008C2843" w:rsidRDefault="00E64ECD" w:rsidP="00FC3619">
      <w:pPr>
        <w:pStyle w:val="BodyText"/>
        <w:widowControl/>
        <w:numPr>
          <w:ilvl w:val="1"/>
          <w:numId w:val="1"/>
        </w:numPr>
        <w:spacing w:after="200" w:line="276" w:lineRule="auto"/>
        <w:ind w:left="851" w:hanging="425"/>
        <w:jc w:val="both"/>
        <w:rPr>
          <w:rFonts w:cs="Arial"/>
          <w:sz w:val="20"/>
          <w:lang w:val="en-GB"/>
        </w:rPr>
      </w:pPr>
      <w:r>
        <w:rPr>
          <w:rFonts w:cs="Arial"/>
          <w:sz w:val="20"/>
          <w:lang w:val="en-GB"/>
        </w:rPr>
        <w:t>E</w:t>
      </w:r>
      <w:r w:rsidR="00641366" w:rsidRPr="008C2843">
        <w:rPr>
          <w:rFonts w:cs="Arial"/>
          <w:sz w:val="20"/>
          <w:lang w:val="en-GB"/>
        </w:rPr>
        <w:t>nabling the sharing of relevant information on a confidential basis between the Parties with the</w:t>
      </w:r>
      <w:r>
        <w:rPr>
          <w:rFonts w:cs="Arial"/>
          <w:sz w:val="20"/>
          <w:lang w:val="en-GB"/>
        </w:rPr>
        <w:t xml:space="preserve"> </w:t>
      </w:r>
      <w:r w:rsidR="00641366" w:rsidRPr="008C2843">
        <w:rPr>
          <w:rFonts w:cs="Arial"/>
          <w:sz w:val="20"/>
          <w:lang w:val="en-GB"/>
        </w:rPr>
        <w:t>aim of identifying the objectives of each Party in relation to the Project, and the corresponding capabilities of each Party to support the achievement of such objectives; and</w:t>
      </w:r>
    </w:p>
    <w:p w14:paraId="45F713C7" w14:textId="5364407E" w:rsidR="00641366" w:rsidRPr="008C2843" w:rsidRDefault="00E64ECD" w:rsidP="00FC3619">
      <w:pPr>
        <w:pStyle w:val="BodyText"/>
        <w:widowControl/>
        <w:numPr>
          <w:ilvl w:val="1"/>
          <w:numId w:val="1"/>
        </w:numPr>
        <w:spacing w:after="200" w:line="276" w:lineRule="auto"/>
        <w:ind w:left="851" w:hanging="425"/>
        <w:jc w:val="both"/>
        <w:rPr>
          <w:rFonts w:cs="Arial"/>
          <w:sz w:val="20"/>
          <w:lang w:val="en-GB"/>
        </w:rPr>
      </w:pPr>
      <w:r>
        <w:rPr>
          <w:rFonts w:cs="Arial"/>
          <w:sz w:val="20"/>
        </w:rPr>
        <w:t>S</w:t>
      </w:r>
      <w:r w:rsidR="00641366" w:rsidRPr="008C2843">
        <w:rPr>
          <w:rFonts w:cs="Arial"/>
          <w:sz w:val="20"/>
        </w:rPr>
        <w:t>etting out the possible framework, working relationships, structure, implementation, and future commitments of the Parties in relation to the Project.</w:t>
      </w:r>
    </w:p>
    <w:p w14:paraId="0D1D1516" w14:textId="2FBEADE2" w:rsidR="00641366" w:rsidRPr="008C2843" w:rsidRDefault="00641366" w:rsidP="00FC3619">
      <w:pPr>
        <w:spacing w:line="276" w:lineRule="auto"/>
        <w:rPr>
          <w:rFonts w:cs="Arial"/>
          <w:szCs w:val="20"/>
        </w:rPr>
      </w:pPr>
    </w:p>
    <w:p w14:paraId="6CF85B58" w14:textId="77777777" w:rsidR="00641366" w:rsidRPr="008C2843" w:rsidRDefault="00641366" w:rsidP="00FC3619">
      <w:pPr>
        <w:pStyle w:val="BodyText"/>
        <w:keepNext/>
        <w:widowControl/>
        <w:numPr>
          <w:ilvl w:val="0"/>
          <w:numId w:val="1"/>
        </w:numPr>
        <w:spacing w:line="276" w:lineRule="auto"/>
        <w:ind w:left="432" w:hanging="432"/>
        <w:jc w:val="both"/>
        <w:rPr>
          <w:rFonts w:cs="Arial"/>
          <w:b/>
          <w:sz w:val="20"/>
          <w:lang w:val="en-GB"/>
        </w:rPr>
      </w:pPr>
      <w:r w:rsidRPr="008C2843">
        <w:rPr>
          <w:rFonts w:cs="Arial"/>
          <w:b/>
          <w:sz w:val="20"/>
          <w:lang w:val="en-GB"/>
        </w:rPr>
        <w:t>THE PROJECT</w:t>
      </w:r>
    </w:p>
    <w:p w14:paraId="4121761E" w14:textId="1C9ADA87" w:rsidR="00641366" w:rsidRPr="008C2843" w:rsidRDefault="00641366" w:rsidP="00FC3619">
      <w:pPr>
        <w:spacing w:line="276" w:lineRule="auto"/>
        <w:rPr>
          <w:rFonts w:cs="Arial"/>
          <w:szCs w:val="20"/>
        </w:rPr>
      </w:pPr>
    </w:p>
    <w:p w14:paraId="62DCCB19" w14:textId="77777777" w:rsidR="00641366" w:rsidRPr="008C2843" w:rsidRDefault="00641366" w:rsidP="00FC3619">
      <w:pPr>
        <w:pStyle w:val="BodyText"/>
        <w:widowControl/>
        <w:spacing w:after="200" w:line="276" w:lineRule="auto"/>
        <w:rPr>
          <w:rFonts w:cs="Arial"/>
          <w:bCs/>
          <w:iCs/>
          <w:sz w:val="20"/>
          <w:lang w:val="en-GB"/>
        </w:rPr>
      </w:pPr>
      <w:r w:rsidRPr="008C2843">
        <w:rPr>
          <w:rFonts w:cs="Arial"/>
          <w:bCs/>
          <w:iCs/>
          <w:sz w:val="20"/>
          <w:lang w:val="en-GB"/>
        </w:rPr>
        <w:t>The following project is referred to in this MOU as the “</w:t>
      </w:r>
      <w:r w:rsidRPr="008C2843">
        <w:rPr>
          <w:rFonts w:cs="Arial"/>
          <w:b/>
          <w:iCs/>
          <w:sz w:val="20"/>
          <w:lang w:val="en-GB"/>
        </w:rPr>
        <w:t>Project</w:t>
      </w:r>
      <w:r w:rsidRPr="008C2843">
        <w:rPr>
          <w:rFonts w:cs="Arial"/>
          <w:bCs/>
          <w:iCs/>
          <w:sz w:val="20"/>
          <w:lang w:val="en-GB"/>
        </w:rPr>
        <w:t>”.</w:t>
      </w:r>
    </w:p>
    <w:p w14:paraId="7BBE32F3" w14:textId="0BE24659" w:rsidR="00641366" w:rsidRPr="008C2843" w:rsidRDefault="00641366" w:rsidP="00FC3619">
      <w:pPr>
        <w:spacing w:line="276" w:lineRule="auto"/>
        <w:rPr>
          <w:rFonts w:cs="Arial"/>
          <w:szCs w:val="20"/>
        </w:rPr>
      </w:pPr>
      <w:r w:rsidRPr="008C2843">
        <w:rPr>
          <w:rFonts w:cs="Arial"/>
          <w:szCs w:val="20"/>
          <w:highlight w:val="yellow"/>
        </w:rPr>
        <w:lastRenderedPageBreak/>
        <w:t>Brief about what the company intends to do</w:t>
      </w:r>
    </w:p>
    <w:p w14:paraId="02B16A66" w14:textId="6B4B8905" w:rsidR="00641366" w:rsidRPr="008C2843" w:rsidRDefault="00641366" w:rsidP="00FC3619">
      <w:pPr>
        <w:spacing w:line="276" w:lineRule="auto"/>
        <w:rPr>
          <w:rFonts w:cs="Arial"/>
          <w:szCs w:val="20"/>
        </w:rPr>
      </w:pPr>
    </w:p>
    <w:tbl>
      <w:tblPr>
        <w:tblStyle w:val="GridTable1Light"/>
        <w:tblW w:w="9225" w:type="dxa"/>
        <w:tblLayout w:type="fixed"/>
        <w:tblLook w:val="04A0" w:firstRow="1" w:lastRow="0" w:firstColumn="1" w:lastColumn="0" w:noHBand="0" w:noVBand="1"/>
      </w:tblPr>
      <w:tblGrid>
        <w:gridCol w:w="871"/>
        <w:gridCol w:w="2850"/>
        <w:gridCol w:w="5504"/>
      </w:tblGrid>
      <w:tr w:rsidR="00641366" w:rsidRPr="008C2843" w14:paraId="747222E6" w14:textId="77777777" w:rsidTr="005D76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 w:type="dxa"/>
            <w:hideMark/>
          </w:tcPr>
          <w:p w14:paraId="2972F8A5" w14:textId="77777777" w:rsidR="00641366" w:rsidRPr="008C2843" w:rsidRDefault="00641366" w:rsidP="00FC3619">
            <w:pPr>
              <w:spacing w:line="276" w:lineRule="auto"/>
              <w:rPr>
                <w:rFonts w:cs="Arial"/>
                <w:szCs w:val="20"/>
              </w:rPr>
            </w:pPr>
            <w:r w:rsidRPr="008C2843">
              <w:rPr>
                <w:rFonts w:cs="Arial"/>
                <w:szCs w:val="20"/>
              </w:rPr>
              <w:t>S. No</w:t>
            </w:r>
          </w:p>
        </w:tc>
        <w:tc>
          <w:tcPr>
            <w:tcW w:w="2848" w:type="dxa"/>
            <w:hideMark/>
          </w:tcPr>
          <w:p w14:paraId="3AB9A231" w14:textId="77777777" w:rsidR="00641366" w:rsidRPr="008C2843" w:rsidRDefault="00641366" w:rsidP="00FC3619">
            <w:pPr>
              <w:spacing w:line="276" w:lineRule="auto"/>
              <w:cnfStyle w:val="100000000000" w:firstRow="1" w:lastRow="0" w:firstColumn="0" w:lastColumn="0" w:oddVBand="0" w:evenVBand="0" w:oddHBand="0" w:evenHBand="0" w:firstRowFirstColumn="0" w:firstRowLastColumn="0" w:lastRowFirstColumn="0" w:lastRowLastColumn="0"/>
              <w:rPr>
                <w:rFonts w:cs="Arial"/>
                <w:szCs w:val="20"/>
              </w:rPr>
            </w:pPr>
            <w:r w:rsidRPr="008C2843">
              <w:rPr>
                <w:rFonts w:cs="Arial"/>
                <w:szCs w:val="20"/>
              </w:rPr>
              <w:t>Name of the Program</w:t>
            </w:r>
          </w:p>
        </w:tc>
        <w:tc>
          <w:tcPr>
            <w:tcW w:w="5500" w:type="dxa"/>
            <w:hideMark/>
          </w:tcPr>
          <w:p w14:paraId="7E8FF9E1" w14:textId="77777777" w:rsidR="00641366" w:rsidRPr="008C2843" w:rsidRDefault="00641366" w:rsidP="00FC3619">
            <w:pPr>
              <w:spacing w:line="276" w:lineRule="auto"/>
              <w:cnfStyle w:val="100000000000" w:firstRow="1" w:lastRow="0" w:firstColumn="0" w:lastColumn="0" w:oddVBand="0" w:evenVBand="0" w:oddHBand="0" w:evenHBand="0" w:firstRowFirstColumn="0" w:firstRowLastColumn="0" w:lastRowFirstColumn="0" w:lastRowLastColumn="0"/>
              <w:rPr>
                <w:rFonts w:cs="Arial"/>
                <w:szCs w:val="20"/>
              </w:rPr>
            </w:pPr>
            <w:r w:rsidRPr="008C2843">
              <w:rPr>
                <w:rFonts w:cs="Arial"/>
                <w:szCs w:val="20"/>
              </w:rPr>
              <w:t>Objectives</w:t>
            </w:r>
          </w:p>
        </w:tc>
      </w:tr>
      <w:tr w:rsidR="00641366" w:rsidRPr="008C2843" w14:paraId="0BA8AFEE" w14:textId="77777777" w:rsidTr="005D76FF">
        <w:tc>
          <w:tcPr>
            <w:cnfStyle w:val="001000000000" w:firstRow="0" w:lastRow="0" w:firstColumn="1" w:lastColumn="0" w:oddVBand="0" w:evenVBand="0" w:oddHBand="0" w:evenHBand="0" w:firstRowFirstColumn="0" w:firstRowLastColumn="0" w:lastRowFirstColumn="0" w:lastRowLastColumn="0"/>
            <w:tcW w:w="871" w:type="dxa"/>
            <w:hideMark/>
          </w:tcPr>
          <w:p w14:paraId="59B1BCA0" w14:textId="77777777" w:rsidR="00641366" w:rsidRPr="008C2843" w:rsidRDefault="00641366" w:rsidP="00FC3619">
            <w:pPr>
              <w:spacing w:line="276" w:lineRule="auto"/>
              <w:rPr>
                <w:rFonts w:cs="Arial"/>
                <w:b w:val="0"/>
                <w:bCs w:val="0"/>
                <w:szCs w:val="20"/>
              </w:rPr>
            </w:pPr>
            <w:r w:rsidRPr="008C2843">
              <w:rPr>
                <w:rFonts w:cs="Arial"/>
                <w:b w:val="0"/>
                <w:bCs w:val="0"/>
                <w:szCs w:val="20"/>
              </w:rPr>
              <w:t>1</w:t>
            </w:r>
          </w:p>
        </w:tc>
        <w:tc>
          <w:tcPr>
            <w:tcW w:w="2848" w:type="dxa"/>
            <w:hideMark/>
          </w:tcPr>
          <w:p w14:paraId="129E35B2" w14:textId="52DF3DA9" w:rsidR="00641366" w:rsidRPr="008C2843" w:rsidRDefault="00641366" w:rsidP="00FC3619">
            <w:pPr>
              <w:spacing w:line="276" w:lineRule="auto"/>
              <w:cnfStyle w:val="000000000000" w:firstRow="0" w:lastRow="0" w:firstColumn="0" w:lastColumn="0" w:oddVBand="0" w:evenVBand="0" w:oddHBand="0" w:evenHBand="0" w:firstRowFirstColumn="0" w:firstRowLastColumn="0" w:lastRowFirstColumn="0" w:lastRowLastColumn="0"/>
              <w:rPr>
                <w:rFonts w:cs="Arial"/>
                <w:szCs w:val="20"/>
              </w:rPr>
            </w:pPr>
            <w:r w:rsidRPr="008C2843">
              <w:rPr>
                <w:rFonts w:cs="Arial"/>
                <w:szCs w:val="20"/>
                <w:highlight w:val="yellow"/>
              </w:rPr>
              <w:t>ABC</w:t>
            </w:r>
          </w:p>
        </w:tc>
        <w:tc>
          <w:tcPr>
            <w:tcW w:w="5500" w:type="dxa"/>
            <w:hideMark/>
          </w:tcPr>
          <w:p w14:paraId="5A7EB2E6" w14:textId="3BE238D9" w:rsidR="00641366" w:rsidRPr="008C2843" w:rsidRDefault="00641366" w:rsidP="00FC3619">
            <w:pPr>
              <w:pStyle w:val="ListParagraph"/>
              <w:numPr>
                <w:ilvl w:val="0"/>
                <w:numId w:val="2"/>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cs="Arial"/>
                <w:szCs w:val="20"/>
              </w:rPr>
            </w:pPr>
            <w:r w:rsidRPr="008C2843">
              <w:rPr>
                <w:rFonts w:cs="Arial"/>
                <w:b/>
                <w:bCs/>
                <w:i/>
                <w:iCs/>
                <w:szCs w:val="20"/>
              </w:rPr>
              <w:t>Duration</w:t>
            </w:r>
            <w:r w:rsidRPr="008C2843">
              <w:rPr>
                <w:rFonts w:cs="Arial"/>
                <w:szCs w:val="20"/>
              </w:rPr>
              <w:t xml:space="preserve">: </w:t>
            </w:r>
            <w:r w:rsidRPr="008C2843">
              <w:rPr>
                <w:rFonts w:cs="Arial"/>
                <w:szCs w:val="20"/>
                <w:highlight w:val="yellow"/>
              </w:rPr>
              <w:t>X</w:t>
            </w:r>
            <w:r w:rsidRPr="008C2843">
              <w:rPr>
                <w:rFonts w:cs="Arial"/>
                <w:szCs w:val="20"/>
              </w:rPr>
              <w:t xml:space="preserve"> Hrs</w:t>
            </w:r>
          </w:p>
          <w:p w14:paraId="49A1F519" w14:textId="2AD329F3" w:rsidR="00641366" w:rsidRPr="008C2843" w:rsidRDefault="00641366" w:rsidP="00FC3619">
            <w:pPr>
              <w:pStyle w:val="ListParagraph"/>
              <w:numPr>
                <w:ilvl w:val="0"/>
                <w:numId w:val="2"/>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cs="Arial"/>
                <w:szCs w:val="20"/>
              </w:rPr>
            </w:pPr>
            <w:r w:rsidRPr="008C2843">
              <w:rPr>
                <w:rFonts w:cs="Arial"/>
                <w:b/>
                <w:bCs/>
                <w:i/>
                <w:iCs/>
                <w:szCs w:val="20"/>
              </w:rPr>
              <w:t>Mode</w:t>
            </w:r>
            <w:r w:rsidRPr="008C2843">
              <w:rPr>
                <w:rFonts w:cs="Arial"/>
                <w:szCs w:val="20"/>
              </w:rPr>
              <w:t xml:space="preserve">: </w:t>
            </w:r>
          </w:p>
          <w:p w14:paraId="6544AE3A" w14:textId="72A05CD2" w:rsidR="00641366" w:rsidRPr="008C2843" w:rsidRDefault="00641366" w:rsidP="00FC3619">
            <w:pPr>
              <w:pStyle w:val="ListParagraph"/>
              <w:numPr>
                <w:ilvl w:val="0"/>
                <w:numId w:val="2"/>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cs="Arial"/>
                <w:b/>
                <w:bCs/>
                <w:szCs w:val="20"/>
              </w:rPr>
            </w:pPr>
            <w:r w:rsidRPr="008C2843">
              <w:rPr>
                <w:rFonts w:cs="Arial"/>
                <w:b/>
                <w:bCs/>
                <w:i/>
                <w:iCs/>
                <w:szCs w:val="20"/>
              </w:rPr>
              <w:t>Total students to be trained</w:t>
            </w:r>
            <w:r w:rsidRPr="008C2843">
              <w:rPr>
                <w:rFonts w:cs="Arial"/>
                <w:b/>
                <w:bCs/>
                <w:szCs w:val="20"/>
              </w:rPr>
              <w:t>:</w:t>
            </w:r>
            <w:r w:rsidR="008C2264" w:rsidRPr="008C2843">
              <w:rPr>
                <w:rFonts w:cs="Arial"/>
                <w:szCs w:val="20"/>
              </w:rPr>
              <w:t xml:space="preserve"> </w:t>
            </w:r>
          </w:p>
          <w:p w14:paraId="0D15CAB8" w14:textId="66001D4F" w:rsidR="00706DE6" w:rsidRPr="008C2843" w:rsidRDefault="00706DE6" w:rsidP="00FC3619">
            <w:pPr>
              <w:pStyle w:val="ListParagraph"/>
              <w:numPr>
                <w:ilvl w:val="0"/>
                <w:numId w:val="2"/>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cs="Arial"/>
                <w:b/>
                <w:bCs/>
                <w:szCs w:val="20"/>
              </w:rPr>
            </w:pPr>
            <w:r w:rsidRPr="008C2843">
              <w:rPr>
                <w:rFonts w:cs="Arial"/>
                <w:b/>
                <w:bCs/>
                <w:i/>
                <w:iCs/>
                <w:szCs w:val="20"/>
              </w:rPr>
              <w:t>Eligibility</w:t>
            </w:r>
            <w:r w:rsidRPr="008C2843">
              <w:rPr>
                <w:rFonts w:cs="Arial"/>
                <w:b/>
                <w:bCs/>
                <w:szCs w:val="20"/>
              </w:rPr>
              <w:t>:</w:t>
            </w:r>
            <w:r w:rsidR="000A0674" w:rsidRPr="008C2843">
              <w:rPr>
                <w:rFonts w:cs="Arial"/>
                <w:szCs w:val="20"/>
              </w:rPr>
              <w:t xml:space="preserve"> </w:t>
            </w:r>
          </w:p>
          <w:p w14:paraId="793ACD7E" w14:textId="36C71274" w:rsidR="00641366" w:rsidRPr="008C2843" w:rsidRDefault="00641366" w:rsidP="00FC3619">
            <w:pPr>
              <w:pStyle w:val="ListParagraph"/>
              <w:numPr>
                <w:ilvl w:val="0"/>
                <w:numId w:val="2"/>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cs="Arial"/>
                <w:b/>
                <w:bCs/>
                <w:i/>
                <w:iCs/>
                <w:szCs w:val="20"/>
              </w:rPr>
            </w:pPr>
            <w:r w:rsidRPr="008C2843">
              <w:rPr>
                <w:rFonts w:cs="Arial"/>
                <w:b/>
                <w:bCs/>
                <w:i/>
                <w:iCs/>
                <w:szCs w:val="20"/>
              </w:rPr>
              <w:t>Internship</w:t>
            </w:r>
            <w:r w:rsidR="0081305A" w:rsidRPr="008C2843">
              <w:rPr>
                <w:rFonts w:cs="Arial"/>
                <w:b/>
                <w:bCs/>
                <w:szCs w:val="20"/>
              </w:rPr>
              <w:t>:</w:t>
            </w:r>
            <w:r w:rsidR="00315A2F" w:rsidRPr="008C2843">
              <w:rPr>
                <w:rFonts w:cs="Arial"/>
                <w:szCs w:val="20"/>
              </w:rPr>
              <w:t xml:space="preserve"> </w:t>
            </w:r>
          </w:p>
          <w:p w14:paraId="395F33F5" w14:textId="4D439922" w:rsidR="00BA1D6B" w:rsidRPr="008C2843" w:rsidRDefault="00BA1D6B" w:rsidP="00FC3619">
            <w:pPr>
              <w:pStyle w:val="ListParagraph"/>
              <w:numPr>
                <w:ilvl w:val="0"/>
                <w:numId w:val="2"/>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cs="Arial"/>
                <w:b/>
                <w:bCs/>
                <w:i/>
                <w:iCs/>
                <w:szCs w:val="20"/>
              </w:rPr>
            </w:pPr>
            <w:r w:rsidRPr="008C2843">
              <w:rPr>
                <w:rFonts w:cs="Arial"/>
                <w:b/>
                <w:bCs/>
                <w:i/>
                <w:iCs/>
                <w:szCs w:val="20"/>
              </w:rPr>
              <w:t>Placement</w:t>
            </w:r>
            <w:r w:rsidRPr="008C2843">
              <w:rPr>
                <w:rFonts w:cs="Arial"/>
                <w:b/>
                <w:bCs/>
                <w:szCs w:val="20"/>
              </w:rPr>
              <w:t>:</w:t>
            </w:r>
            <w:r w:rsidRPr="008C2843">
              <w:rPr>
                <w:rFonts w:cs="Arial"/>
                <w:szCs w:val="20"/>
              </w:rPr>
              <w:t xml:space="preserve"> </w:t>
            </w:r>
          </w:p>
          <w:p w14:paraId="6AE2C87C" w14:textId="464EEDB8" w:rsidR="00DC18A0" w:rsidRPr="008C2843" w:rsidRDefault="00DC18A0" w:rsidP="00FC3619">
            <w:pPr>
              <w:pStyle w:val="ListParagraph"/>
              <w:numPr>
                <w:ilvl w:val="0"/>
                <w:numId w:val="2"/>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cs="Arial"/>
                <w:b/>
                <w:bCs/>
                <w:i/>
                <w:iCs/>
                <w:szCs w:val="20"/>
              </w:rPr>
            </w:pPr>
            <w:r w:rsidRPr="008C2843">
              <w:rPr>
                <w:rFonts w:cs="Arial"/>
                <w:b/>
                <w:bCs/>
                <w:i/>
                <w:iCs/>
                <w:szCs w:val="20"/>
              </w:rPr>
              <w:t>Faculty Training:</w:t>
            </w:r>
            <w:r w:rsidR="00926CAA" w:rsidRPr="008C2843">
              <w:rPr>
                <w:rFonts w:cs="Arial"/>
                <w:szCs w:val="20"/>
              </w:rPr>
              <w:t xml:space="preserve"> </w:t>
            </w:r>
          </w:p>
          <w:p w14:paraId="1F293A27" w14:textId="2E77CCFC" w:rsidR="00641366" w:rsidRPr="008C2843" w:rsidRDefault="00F6656F" w:rsidP="00FC3619">
            <w:pPr>
              <w:pStyle w:val="ListParagraph"/>
              <w:numPr>
                <w:ilvl w:val="0"/>
                <w:numId w:val="2"/>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cs="Arial"/>
                <w:szCs w:val="20"/>
              </w:rPr>
            </w:pPr>
            <w:r w:rsidRPr="008C2843">
              <w:rPr>
                <w:rFonts w:cs="Arial"/>
                <w:szCs w:val="20"/>
              </w:rPr>
              <w:t>Other details</w:t>
            </w:r>
          </w:p>
        </w:tc>
      </w:tr>
      <w:tr w:rsidR="000F58AC" w:rsidRPr="008C2843" w14:paraId="216D0D21" w14:textId="77777777" w:rsidTr="005D76FF">
        <w:tc>
          <w:tcPr>
            <w:cnfStyle w:val="001000000000" w:firstRow="0" w:lastRow="0" w:firstColumn="1" w:lastColumn="0" w:oddVBand="0" w:evenVBand="0" w:oddHBand="0" w:evenHBand="0" w:firstRowFirstColumn="0" w:firstRowLastColumn="0" w:lastRowFirstColumn="0" w:lastRowLastColumn="0"/>
            <w:tcW w:w="871" w:type="dxa"/>
          </w:tcPr>
          <w:p w14:paraId="2BA5FC5A" w14:textId="6F9D65BB" w:rsidR="000F58AC" w:rsidRPr="008C2843" w:rsidRDefault="000F58AC" w:rsidP="00FC3619">
            <w:pPr>
              <w:spacing w:line="276" w:lineRule="auto"/>
              <w:rPr>
                <w:rFonts w:cs="Arial"/>
                <w:b w:val="0"/>
                <w:bCs w:val="0"/>
                <w:szCs w:val="20"/>
              </w:rPr>
            </w:pPr>
            <w:r w:rsidRPr="008C2843">
              <w:rPr>
                <w:rFonts w:cs="Arial"/>
                <w:b w:val="0"/>
                <w:bCs w:val="0"/>
                <w:szCs w:val="20"/>
              </w:rPr>
              <w:t>2</w:t>
            </w:r>
          </w:p>
        </w:tc>
        <w:tc>
          <w:tcPr>
            <w:tcW w:w="2848" w:type="dxa"/>
          </w:tcPr>
          <w:p w14:paraId="19CEDEA4" w14:textId="260F4F77" w:rsidR="000F58AC" w:rsidRPr="008C2843" w:rsidRDefault="000F58AC" w:rsidP="00FC3619">
            <w:pPr>
              <w:spacing w:line="276" w:lineRule="auto"/>
              <w:cnfStyle w:val="000000000000" w:firstRow="0" w:lastRow="0" w:firstColumn="0" w:lastColumn="0" w:oddVBand="0" w:evenVBand="0" w:oddHBand="0" w:evenHBand="0" w:firstRowFirstColumn="0" w:firstRowLastColumn="0" w:lastRowFirstColumn="0" w:lastRowLastColumn="0"/>
              <w:rPr>
                <w:rFonts w:cs="Arial"/>
                <w:szCs w:val="20"/>
                <w:highlight w:val="yellow"/>
              </w:rPr>
            </w:pPr>
            <w:r w:rsidRPr="008C2843">
              <w:rPr>
                <w:rFonts w:cs="Arial"/>
                <w:szCs w:val="20"/>
                <w:highlight w:val="yellow"/>
              </w:rPr>
              <w:t>CED</w:t>
            </w:r>
          </w:p>
        </w:tc>
        <w:tc>
          <w:tcPr>
            <w:tcW w:w="5500" w:type="dxa"/>
          </w:tcPr>
          <w:p w14:paraId="303FFA2B" w14:textId="77777777" w:rsidR="000F58AC" w:rsidRPr="008C2843" w:rsidRDefault="000F58AC" w:rsidP="00FC3619">
            <w:pPr>
              <w:pStyle w:val="ListParagraph"/>
              <w:numPr>
                <w:ilvl w:val="0"/>
                <w:numId w:val="2"/>
              </w:numPr>
              <w:spacing w:line="276" w:lineRule="auto"/>
              <w:ind w:left="357" w:hanging="357"/>
              <w:cnfStyle w:val="000000000000" w:firstRow="0" w:lastRow="0" w:firstColumn="0" w:lastColumn="0" w:oddVBand="0" w:evenVBand="0" w:oddHBand="0" w:evenHBand="0" w:firstRowFirstColumn="0" w:firstRowLastColumn="0" w:lastRowFirstColumn="0" w:lastRowLastColumn="0"/>
              <w:rPr>
                <w:rFonts w:cs="Arial"/>
                <w:b/>
                <w:bCs/>
                <w:i/>
                <w:iCs/>
                <w:szCs w:val="20"/>
              </w:rPr>
            </w:pPr>
          </w:p>
        </w:tc>
      </w:tr>
    </w:tbl>
    <w:p w14:paraId="3110DAB7" w14:textId="3BDA1DBA" w:rsidR="002A452A" w:rsidRPr="008C2843" w:rsidRDefault="002A452A" w:rsidP="00FC3619">
      <w:pPr>
        <w:widowControl w:val="0"/>
        <w:shd w:val="clear" w:color="auto" w:fill="FFFFFF"/>
        <w:spacing w:line="276" w:lineRule="auto"/>
        <w:jc w:val="both"/>
        <w:rPr>
          <w:rFonts w:cs="Arial"/>
          <w:szCs w:val="20"/>
        </w:rPr>
      </w:pPr>
    </w:p>
    <w:p w14:paraId="39B34063" w14:textId="77777777" w:rsidR="00F566F8" w:rsidRPr="008C2843" w:rsidRDefault="00F566F8" w:rsidP="00FC3619">
      <w:pPr>
        <w:widowControl w:val="0"/>
        <w:shd w:val="clear" w:color="auto" w:fill="FFFFFF"/>
        <w:spacing w:line="276" w:lineRule="auto"/>
        <w:jc w:val="both"/>
        <w:rPr>
          <w:rFonts w:cs="Arial"/>
          <w:szCs w:val="20"/>
        </w:rPr>
      </w:pPr>
    </w:p>
    <w:p w14:paraId="69F7AB91" w14:textId="2B464375" w:rsidR="00DE0086" w:rsidRDefault="00F566F8" w:rsidP="00DE0086">
      <w:pPr>
        <w:pStyle w:val="BodyText"/>
        <w:keepNext/>
        <w:widowControl/>
        <w:numPr>
          <w:ilvl w:val="0"/>
          <w:numId w:val="1"/>
        </w:numPr>
        <w:spacing w:line="276" w:lineRule="auto"/>
        <w:ind w:left="432" w:hanging="432"/>
        <w:jc w:val="both"/>
        <w:rPr>
          <w:rFonts w:cs="Arial"/>
          <w:b/>
          <w:sz w:val="20"/>
          <w:lang w:val="en-GB"/>
        </w:rPr>
      </w:pPr>
      <w:r w:rsidRPr="008C2843">
        <w:rPr>
          <w:rFonts w:cs="Arial"/>
          <w:b/>
          <w:sz w:val="20"/>
          <w:lang w:val="en-GB"/>
        </w:rPr>
        <w:t>ROLES AND RESPONSIBILITIES</w:t>
      </w:r>
    </w:p>
    <w:p w14:paraId="4196A5C9" w14:textId="77777777" w:rsidR="00DE0086" w:rsidRPr="00DE0086" w:rsidRDefault="00DE0086" w:rsidP="00DE0086">
      <w:pPr>
        <w:pStyle w:val="BodyText"/>
        <w:keepNext/>
        <w:widowControl/>
        <w:spacing w:line="276" w:lineRule="auto"/>
        <w:jc w:val="both"/>
        <w:rPr>
          <w:rFonts w:cs="Arial"/>
          <w:b/>
          <w:sz w:val="20"/>
          <w:lang w:val="en-GB"/>
        </w:rPr>
      </w:pPr>
    </w:p>
    <w:p w14:paraId="1A9E2212" w14:textId="0835A338" w:rsidR="002A452A" w:rsidRPr="008C2843" w:rsidRDefault="00DE0086" w:rsidP="00FC3619">
      <w:pPr>
        <w:widowControl w:val="0"/>
        <w:shd w:val="clear" w:color="auto" w:fill="FFFFFF"/>
        <w:spacing w:line="276" w:lineRule="auto"/>
        <w:jc w:val="both"/>
        <w:rPr>
          <w:rFonts w:eastAsia="Calibri" w:cs="Arial"/>
          <w:szCs w:val="20"/>
          <w:lang w:val="en-US" w:eastAsia="ja-JP"/>
        </w:rPr>
      </w:pPr>
      <w:r>
        <w:rPr>
          <w:rFonts w:eastAsia="Calibri" w:cs="Arial"/>
          <w:b/>
          <w:bCs/>
          <w:szCs w:val="20"/>
        </w:rPr>
        <w:t xml:space="preserve">4.1 </w:t>
      </w:r>
      <w:r w:rsidR="002A452A" w:rsidRPr="008C2843">
        <w:rPr>
          <w:rFonts w:eastAsia="Calibri" w:cs="Arial"/>
          <w:b/>
          <w:bCs/>
          <w:szCs w:val="20"/>
        </w:rPr>
        <w:t xml:space="preserve">Responsibilities of </w:t>
      </w:r>
      <w:r w:rsidR="002A452A" w:rsidRPr="008C2843">
        <w:rPr>
          <w:rFonts w:cs="Arial"/>
          <w:b/>
          <w:bCs/>
          <w:szCs w:val="20"/>
          <w:highlight w:val="yellow"/>
          <w:lang w:val="en-AU"/>
        </w:rPr>
        <w:t>Party 1</w:t>
      </w:r>
      <w:r w:rsidR="002A452A" w:rsidRPr="008C2843">
        <w:rPr>
          <w:rFonts w:eastAsia="Calibri" w:cs="Arial"/>
          <w:b/>
          <w:bCs/>
          <w:szCs w:val="20"/>
        </w:rPr>
        <w:t xml:space="preserve"> and/or its program sponsors/partners</w:t>
      </w:r>
      <w:r w:rsidR="002A452A" w:rsidRPr="008C2843">
        <w:rPr>
          <w:rFonts w:eastAsia="Calibri" w:cs="Arial"/>
          <w:szCs w:val="20"/>
        </w:rPr>
        <w:t xml:space="preserve">: </w:t>
      </w:r>
    </w:p>
    <w:p w14:paraId="3F8DDC1D" w14:textId="688C8E28" w:rsidR="002A452A" w:rsidRPr="008C2843" w:rsidRDefault="002A452A" w:rsidP="00FC3619">
      <w:pPr>
        <w:pStyle w:val="ListParagraph"/>
        <w:widowControl w:val="0"/>
        <w:numPr>
          <w:ilvl w:val="0"/>
          <w:numId w:val="6"/>
        </w:numPr>
        <w:shd w:val="clear" w:color="auto" w:fill="FFFFFF"/>
        <w:spacing w:line="276" w:lineRule="auto"/>
        <w:jc w:val="both"/>
        <w:rPr>
          <w:rFonts w:eastAsia="Calibri" w:cs="Arial"/>
          <w:szCs w:val="20"/>
        </w:rPr>
      </w:pPr>
      <w:r w:rsidRPr="008C2843">
        <w:rPr>
          <w:rFonts w:eastAsia="Calibri" w:cs="Arial"/>
          <w:b/>
          <w:bCs/>
          <w:szCs w:val="20"/>
        </w:rPr>
        <w:t>Single Point of Contact</w:t>
      </w:r>
      <w:r w:rsidRPr="008C2843">
        <w:rPr>
          <w:rFonts w:eastAsia="Calibri" w:cs="Arial"/>
          <w:szCs w:val="20"/>
        </w:rPr>
        <w:t xml:space="preserve">: </w:t>
      </w:r>
      <w:r w:rsidRPr="008C2843">
        <w:rPr>
          <w:rFonts w:cs="Arial"/>
          <w:b/>
          <w:bCs/>
          <w:szCs w:val="20"/>
          <w:highlight w:val="yellow"/>
          <w:lang w:val="en-AU"/>
        </w:rPr>
        <w:t>Party 1</w:t>
      </w:r>
      <w:r w:rsidRPr="008C2843">
        <w:rPr>
          <w:rFonts w:eastAsia="Calibri" w:cs="Arial"/>
          <w:szCs w:val="20"/>
        </w:rPr>
        <w:t xml:space="preserve"> will nominate one of its team members as the single point of contact for all interactions with the TNSDC.</w:t>
      </w:r>
    </w:p>
    <w:p w14:paraId="40421AA1" w14:textId="12867ECD" w:rsidR="002A452A" w:rsidRPr="008C2843" w:rsidRDefault="002A452A" w:rsidP="00FC3619">
      <w:pPr>
        <w:pStyle w:val="ListParagraph"/>
        <w:widowControl w:val="0"/>
        <w:numPr>
          <w:ilvl w:val="0"/>
          <w:numId w:val="6"/>
        </w:numPr>
        <w:shd w:val="clear" w:color="auto" w:fill="FFFFFF"/>
        <w:spacing w:line="276" w:lineRule="auto"/>
        <w:jc w:val="both"/>
        <w:rPr>
          <w:rFonts w:eastAsia="Calibri" w:cs="Arial"/>
          <w:szCs w:val="20"/>
        </w:rPr>
      </w:pPr>
      <w:r w:rsidRPr="008C2843">
        <w:rPr>
          <w:rFonts w:eastAsia="Calibri" w:cs="Arial"/>
          <w:b/>
          <w:bCs/>
          <w:szCs w:val="20"/>
        </w:rPr>
        <w:t>Program Awareness Campaign</w:t>
      </w:r>
      <w:r w:rsidRPr="008C2843">
        <w:rPr>
          <w:rFonts w:eastAsia="Calibri" w:cs="Arial"/>
          <w:szCs w:val="20"/>
        </w:rPr>
        <w:t xml:space="preserve">: </w:t>
      </w:r>
      <w:r w:rsidRPr="008C2843">
        <w:rPr>
          <w:rFonts w:cs="Arial"/>
          <w:b/>
          <w:bCs/>
          <w:szCs w:val="20"/>
          <w:highlight w:val="yellow"/>
          <w:lang w:val="en-AU"/>
        </w:rPr>
        <w:t>Party 1</w:t>
      </w:r>
      <w:r w:rsidRPr="008C2843">
        <w:rPr>
          <w:rFonts w:eastAsia="Calibri" w:cs="Arial"/>
          <w:szCs w:val="20"/>
        </w:rPr>
        <w:t xml:space="preserve"> will conduct orientation /awareness sessions for TNSDC and/or its constituents/references and their leadership, learners, and educators, at a mutually agreed schedule, to onboard them onto the program(s).</w:t>
      </w:r>
    </w:p>
    <w:p w14:paraId="43046103" w14:textId="070E990B" w:rsidR="002A452A" w:rsidRPr="008C2843" w:rsidRDefault="002A452A" w:rsidP="00FC3619">
      <w:pPr>
        <w:pStyle w:val="ListParagraph"/>
        <w:widowControl w:val="0"/>
        <w:numPr>
          <w:ilvl w:val="0"/>
          <w:numId w:val="6"/>
        </w:numPr>
        <w:shd w:val="clear" w:color="auto" w:fill="FFFFFF"/>
        <w:spacing w:line="276" w:lineRule="auto"/>
        <w:jc w:val="both"/>
        <w:rPr>
          <w:rFonts w:eastAsia="Calibri" w:cs="Arial"/>
          <w:szCs w:val="20"/>
        </w:rPr>
      </w:pPr>
      <w:r w:rsidRPr="008C2843">
        <w:rPr>
          <w:rFonts w:eastAsia="Calibri" w:cs="Arial"/>
          <w:b/>
          <w:bCs/>
          <w:szCs w:val="20"/>
        </w:rPr>
        <w:t>Program materials</w:t>
      </w:r>
      <w:r w:rsidRPr="008C2843">
        <w:rPr>
          <w:rFonts w:eastAsia="Calibri" w:cs="Arial"/>
          <w:szCs w:val="20"/>
        </w:rPr>
        <w:t xml:space="preserve">: </w:t>
      </w:r>
      <w:r w:rsidRPr="008C2843">
        <w:rPr>
          <w:rFonts w:cs="Arial"/>
          <w:b/>
          <w:bCs/>
          <w:szCs w:val="20"/>
          <w:highlight w:val="yellow"/>
          <w:lang w:val="en-AU"/>
        </w:rPr>
        <w:t>Party 1</w:t>
      </w:r>
      <w:r w:rsidRPr="008C2843">
        <w:rPr>
          <w:rFonts w:eastAsia="Calibri" w:cs="Arial"/>
          <w:szCs w:val="20"/>
        </w:rPr>
        <w:t xml:space="preserve"> will share all required program materials with the TNSDC and/or its associated learner communities as required. All sharing will be online and/or through electronic media. </w:t>
      </w:r>
    </w:p>
    <w:p w14:paraId="1A0A97B8" w14:textId="053DD05C" w:rsidR="002A452A" w:rsidRPr="008C2843" w:rsidRDefault="002A452A" w:rsidP="00FC3619">
      <w:pPr>
        <w:pStyle w:val="ListParagraph"/>
        <w:widowControl w:val="0"/>
        <w:numPr>
          <w:ilvl w:val="0"/>
          <w:numId w:val="6"/>
        </w:numPr>
        <w:shd w:val="clear" w:color="auto" w:fill="FFFFFF"/>
        <w:spacing w:line="276" w:lineRule="auto"/>
        <w:jc w:val="both"/>
        <w:rPr>
          <w:rFonts w:eastAsia="Calibri" w:cs="Arial"/>
          <w:szCs w:val="20"/>
        </w:rPr>
      </w:pPr>
      <w:r w:rsidRPr="008C2843">
        <w:rPr>
          <w:rFonts w:eastAsia="Calibri" w:cs="Arial"/>
          <w:b/>
          <w:bCs/>
          <w:szCs w:val="20"/>
        </w:rPr>
        <w:t>Face to face, instructor led sessions</w:t>
      </w:r>
      <w:r w:rsidRPr="008C2843">
        <w:rPr>
          <w:rFonts w:eastAsia="Calibri" w:cs="Arial"/>
          <w:szCs w:val="20"/>
        </w:rPr>
        <w:t xml:space="preserve">: Face to face ILT sessions, wherever required at the sole discretion of </w:t>
      </w:r>
      <w:r w:rsidRPr="008C2843">
        <w:rPr>
          <w:rFonts w:cs="Arial"/>
          <w:b/>
          <w:bCs/>
          <w:szCs w:val="20"/>
          <w:highlight w:val="yellow"/>
          <w:lang w:val="en-AU"/>
        </w:rPr>
        <w:t>Party 1</w:t>
      </w:r>
      <w:r w:rsidRPr="008C2843">
        <w:rPr>
          <w:rFonts w:eastAsia="Calibri" w:cs="Arial"/>
          <w:szCs w:val="20"/>
        </w:rPr>
        <w:t xml:space="preserve">, will be organized on campus or elsewhere and will be delivered by </w:t>
      </w:r>
      <w:r w:rsidRPr="008C2843">
        <w:rPr>
          <w:rFonts w:cs="Arial"/>
          <w:b/>
          <w:bCs/>
          <w:szCs w:val="20"/>
          <w:highlight w:val="yellow"/>
          <w:lang w:val="en-AU"/>
        </w:rPr>
        <w:t>Party 1</w:t>
      </w:r>
      <w:r w:rsidRPr="008C2843">
        <w:rPr>
          <w:rFonts w:eastAsia="Calibri" w:cs="Arial"/>
          <w:szCs w:val="20"/>
        </w:rPr>
        <w:t xml:space="preserve"> and/or its partner organizations’ trainers to program beneficiaries.</w:t>
      </w:r>
    </w:p>
    <w:p w14:paraId="236B2957" w14:textId="674812F6" w:rsidR="002A452A" w:rsidRPr="008C2843" w:rsidRDefault="002A452A" w:rsidP="00FC3619">
      <w:pPr>
        <w:pStyle w:val="ListParagraph"/>
        <w:widowControl w:val="0"/>
        <w:numPr>
          <w:ilvl w:val="0"/>
          <w:numId w:val="6"/>
        </w:numPr>
        <w:shd w:val="clear" w:color="auto" w:fill="FFFFFF"/>
        <w:spacing w:line="276" w:lineRule="auto"/>
        <w:jc w:val="both"/>
        <w:rPr>
          <w:rFonts w:eastAsia="Calibri" w:cs="Arial"/>
          <w:szCs w:val="20"/>
        </w:rPr>
      </w:pPr>
      <w:r w:rsidRPr="008C2843">
        <w:rPr>
          <w:rFonts w:eastAsia="Calibri" w:cs="Arial"/>
          <w:b/>
          <w:bCs/>
          <w:szCs w:val="20"/>
        </w:rPr>
        <w:t>Online instructor led sessions</w:t>
      </w:r>
      <w:r w:rsidRPr="008C2843">
        <w:rPr>
          <w:rFonts w:eastAsia="Calibri" w:cs="Arial"/>
          <w:szCs w:val="20"/>
        </w:rPr>
        <w:t xml:space="preserve">: These sessions may take the form of webinars or mentoring workshops or technology bootcamps or innovation camps or career readiness workshops that will seek to assist learners in their career goals. These programs will be organized regularly as per a regular calendar, published online, and will be conducted by </w:t>
      </w:r>
      <w:r w:rsidRPr="008C2843">
        <w:rPr>
          <w:rFonts w:cs="Arial"/>
          <w:b/>
          <w:bCs/>
          <w:szCs w:val="20"/>
          <w:highlight w:val="yellow"/>
          <w:lang w:val="en-AU"/>
        </w:rPr>
        <w:t>Party 1</w:t>
      </w:r>
      <w:r w:rsidRPr="008C2843">
        <w:rPr>
          <w:rFonts w:eastAsia="Calibri" w:cs="Arial"/>
          <w:szCs w:val="20"/>
        </w:rPr>
        <w:t xml:space="preserve"> team members or program sponsors or external stakeholders as appropriate and as identified by </w:t>
      </w:r>
      <w:r w:rsidRPr="008C2843">
        <w:rPr>
          <w:rFonts w:cs="Arial"/>
          <w:b/>
          <w:bCs/>
          <w:szCs w:val="20"/>
          <w:highlight w:val="yellow"/>
          <w:lang w:val="en-AU"/>
        </w:rPr>
        <w:t>Party 1</w:t>
      </w:r>
      <w:r w:rsidRPr="008C2843">
        <w:rPr>
          <w:rFonts w:eastAsia="Calibri" w:cs="Arial"/>
          <w:szCs w:val="20"/>
        </w:rPr>
        <w:t xml:space="preserve">. </w:t>
      </w:r>
    </w:p>
    <w:p w14:paraId="611DAA9F" w14:textId="686FA26F" w:rsidR="002A452A" w:rsidRPr="008C2843" w:rsidRDefault="002A452A" w:rsidP="00FC3619">
      <w:pPr>
        <w:pStyle w:val="ListParagraph"/>
        <w:widowControl w:val="0"/>
        <w:numPr>
          <w:ilvl w:val="0"/>
          <w:numId w:val="6"/>
        </w:numPr>
        <w:shd w:val="clear" w:color="auto" w:fill="FFFFFF"/>
        <w:spacing w:line="276" w:lineRule="auto"/>
        <w:jc w:val="both"/>
        <w:rPr>
          <w:rFonts w:eastAsia="Calibri" w:cs="Arial"/>
          <w:szCs w:val="20"/>
        </w:rPr>
      </w:pPr>
      <w:r w:rsidRPr="008C2843">
        <w:rPr>
          <w:rFonts w:eastAsia="Calibri" w:cs="Arial"/>
          <w:b/>
          <w:bCs/>
          <w:szCs w:val="20"/>
        </w:rPr>
        <w:t xml:space="preserve">Interaction with Industry experts: </w:t>
      </w:r>
      <w:r w:rsidRPr="008C2843">
        <w:rPr>
          <w:rFonts w:cs="Arial"/>
          <w:b/>
          <w:bCs/>
          <w:szCs w:val="20"/>
          <w:highlight w:val="yellow"/>
          <w:lang w:val="en-AU"/>
        </w:rPr>
        <w:t>Party 1</w:t>
      </w:r>
      <w:r w:rsidRPr="008C2843">
        <w:rPr>
          <w:rFonts w:eastAsia="Calibri" w:cs="Arial"/>
          <w:szCs w:val="20"/>
        </w:rPr>
        <w:t xml:space="preserve"> will bring industry experts, online or face-to-face, to drive engagements with learners at TNSDC member institutions and/or learner communities, through seminars/webinars or project mentorship. </w:t>
      </w:r>
    </w:p>
    <w:p w14:paraId="4A27828F" w14:textId="77777777" w:rsidR="002A452A" w:rsidRPr="008C2843" w:rsidRDefault="002A452A" w:rsidP="00FC3619">
      <w:pPr>
        <w:pStyle w:val="ListParagraph"/>
        <w:widowControl w:val="0"/>
        <w:numPr>
          <w:ilvl w:val="0"/>
          <w:numId w:val="6"/>
        </w:numPr>
        <w:shd w:val="clear" w:color="auto" w:fill="FFFFFF"/>
        <w:spacing w:line="276" w:lineRule="auto"/>
        <w:jc w:val="both"/>
        <w:rPr>
          <w:rFonts w:eastAsia="Calibri" w:cs="Arial"/>
          <w:szCs w:val="20"/>
        </w:rPr>
      </w:pPr>
      <w:r w:rsidRPr="008C2843">
        <w:rPr>
          <w:rFonts w:eastAsia="Calibri" w:cs="Arial"/>
          <w:b/>
          <w:bCs/>
          <w:szCs w:val="20"/>
        </w:rPr>
        <w:t>Online platform availability</w:t>
      </w:r>
      <w:r w:rsidRPr="008C2843">
        <w:rPr>
          <w:rFonts w:eastAsia="Calibri" w:cs="Arial"/>
          <w:szCs w:val="20"/>
        </w:rPr>
        <w:t>: Online platforms for each of the programs of interest to the TNSDC, and/or its member institutions or entities, will be made available to it. Links for these platforms will be made available to the beneficiaries in a timely manner.</w:t>
      </w:r>
    </w:p>
    <w:p w14:paraId="68C877E5" w14:textId="2EFB479E" w:rsidR="002A452A" w:rsidRPr="008C2843" w:rsidRDefault="002A452A" w:rsidP="00FC3619">
      <w:pPr>
        <w:pStyle w:val="ListParagraph"/>
        <w:widowControl w:val="0"/>
        <w:numPr>
          <w:ilvl w:val="0"/>
          <w:numId w:val="6"/>
        </w:numPr>
        <w:shd w:val="clear" w:color="auto" w:fill="FFFFFF"/>
        <w:spacing w:line="276" w:lineRule="auto"/>
        <w:jc w:val="both"/>
        <w:rPr>
          <w:rFonts w:eastAsia="Calibri" w:cs="Arial"/>
          <w:szCs w:val="20"/>
        </w:rPr>
      </w:pPr>
      <w:r w:rsidRPr="008C2843">
        <w:rPr>
          <w:rFonts w:eastAsia="Calibri" w:cs="Arial"/>
          <w:b/>
          <w:bCs/>
          <w:szCs w:val="20"/>
        </w:rPr>
        <w:t>Assessments</w:t>
      </w:r>
      <w:r w:rsidRPr="008C2843">
        <w:rPr>
          <w:rFonts w:eastAsia="Calibri" w:cs="Arial"/>
          <w:szCs w:val="20"/>
        </w:rPr>
        <w:t xml:space="preserve">: </w:t>
      </w:r>
      <w:r w:rsidRPr="008C2843">
        <w:rPr>
          <w:rFonts w:cs="Arial"/>
          <w:b/>
          <w:bCs/>
          <w:szCs w:val="20"/>
          <w:highlight w:val="yellow"/>
          <w:lang w:val="en-AU"/>
        </w:rPr>
        <w:t>Party 1</w:t>
      </w:r>
      <w:r w:rsidRPr="008C2843">
        <w:rPr>
          <w:rFonts w:eastAsia="Calibri" w:cs="Arial"/>
          <w:szCs w:val="20"/>
        </w:rPr>
        <w:t xml:space="preserve"> will conduct assessments, as required, for its programs prior to certification by </w:t>
      </w:r>
      <w:r w:rsidRPr="008C2843">
        <w:rPr>
          <w:rFonts w:cs="Arial"/>
          <w:b/>
          <w:bCs/>
          <w:szCs w:val="20"/>
          <w:highlight w:val="yellow"/>
          <w:lang w:val="en-AU"/>
        </w:rPr>
        <w:t>Party 1</w:t>
      </w:r>
      <w:r w:rsidRPr="008C2843">
        <w:rPr>
          <w:rFonts w:eastAsia="Calibri" w:cs="Arial"/>
          <w:szCs w:val="20"/>
        </w:rPr>
        <w:t xml:space="preserve"> and/or its industry partners and/or participating government agencies. </w:t>
      </w:r>
    </w:p>
    <w:p w14:paraId="6DAC8520" w14:textId="0DD29A8B" w:rsidR="002A452A" w:rsidRPr="008C2843" w:rsidRDefault="002A452A" w:rsidP="00FC3619">
      <w:pPr>
        <w:pStyle w:val="ListParagraph"/>
        <w:widowControl w:val="0"/>
        <w:numPr>
          <w:ilvl w:val="0"/>
          <w:numId w:val="6"/>
        </w:numPr>
        <w:shd w:val="clear" w:color="auto" w:fill="FFFFFF"/>
        <w:spacing w:line="276" w:lineRule="auto"/>
        <w:jc w:val="both"/>
        <w:rPr>
          <w:rFonts w:eastAsia="Calibri" w:cs="Arial"/>
          <w:szCs w:val="20"/>
        </w:rPr>
      </w:pPr>
      <w:r w:rsidRPr="008C2843">
        <w:rPr>
          <w:rFonts w:eastAsia="Calibri" w:cs="Arial"/>
          <w:b/>
          <w:bCs/>
          <w:szCs w:val="20"/>
        </w:rPr>
        <w:t>For programs with career paths</w:t>
      </w:r>
      <w:r w:rsidRPr="008C2843">
        <w:rPr>
          <w:rFonts w:eastAsia="Calibri" w:cs="Arial"/>
          <w:szCs w:val="20"/>
        </w:rPr>
        <w:t xml:space="preserve">: </w:t>
      </w:r>
      <w:r w:rsidR="00D204F5" w:rsidRPr="008C2843">
        <w:rPr>
          <w:rFonts w:cs="Arial"/>
          <w:b/>
          <w:bCs/>
          <w:szCs w:val="20"/>
          <w:highlight w:val="yellow"/>
          <w:lang w:val="en-AU"/>
        </w:rPr>
        <w:t>Party 1</w:t>
      </w:r>
      <w:r w:rsidRPr="008C2843">
        <w:rPr>
          <w:rFonts w:eastAsia="Calibri" w:cs="Arial"/>
          <w:szCs w:val="20"/>
        </w:rPr>
        <w:t xml:space="preserve"> will provide linkages with local and regional industry, government, and the local start-up ecosystem (incubators etc.) that will help learners with gainful employment and/or entrepreneurial opportunities. Interactions will be encouraged in terms of classrooms sessions, workshops, internship opportunities, career opportunities and entrepreneurship opportunities. </w:t>
      </w:r>
    </w:p>
    <w:p w14:paraId="0E7BFCE9" w14:textId="17ADA587" w:rsidR="002A452A" w:rsidRPr="008C2843" w:rsidRDefault="002A452A" w:rsidP="00FC3619">
      <w:pPr>
        <w:pStyle w:val="ListParagraph"/>
        <w:widowControl w:val="0"/>
        <w:numPr>
          <w:ilvl w:val="0"/>
          <w:numId w:val="6"/>
        </w:numPr>
        <w:shd w:val="clear" w:color="auto" w:fill="FFFFFF"/>
        <w:spacing w:line="276" w:lineRule="auto"/>
        <w:jc w:val="both"/>
        <w:rPr>
          <w:rFonts w:eastAsia="Calibri" w:cs="Arial"/>
          <w:szCs w:val="20"/>
        </w:rPr>
      </w:pPr>
      <w:r w:rsidRPr="008C2843">
        <w:rPr>
          <w:rFonts w:eastAsia="Calibri" w:cs="Arial"/>
          <w:b/>
          <w:bCs/>
          <w:szCs w:val="20"/>
        </w:rPr>
        <w:t>No fees</w:t>
      </w:r>
      <w:r w:rsidRPr="008C2843">
        <w:rPr>
          <w:rFonts w:eastAsia="Calibri" w:cs="Arial"/>
          <w:szCs w:val="20"/>
        </w:rPr>
        <w:t xml:space="preserve">: All </w:t>
      </w:r>
      <w:r w:rsidRPr="008C2843">
        <w:rPr>
          <w:rFonts w:cs="Arial"/>
          <w:b/>
          <w:bCs/>
          <w:szCs w:val="20"/>
          <w:highlight w:val="yellow"/>
          <w:lang w:val="en-AU"/>
        </w:rPr>
        <w:t>Party 1</w:t>
      </w:r>
      <w:r w:rsidRPr="008C2843">
        <w:rPr>
          <w:rFonts w:eastAsia="Calibri" w:cs="Arial"/>
          <w:szCs w:val="20"/>
        </w:rPr>
        <w:t xml:space="preserve"> programs are offered free to cost to beneficiaries. </w:t>
      </w:r>
    </w:p>
    <w:p w14:paraId="45A239DB" w14:textId="053140F9" w:rsidR="002A452A" w:rsidRPr="008C2843" w:rsidRDefault="002A452A" w:rsidP="00FC3619">
      <w:pPr>
        <w:pStyle w:val="ListParagraph"/>
        <w:widowControl w:val="0"/>
        <w:numPr>
          <w:ilvl w:val="0"/>
          <w:numId w:val="6"/>
        </w:numPr>
        <w:shd w:val="clear" w:color="auto" w:fill="FFFFFF"/>
        <w:spacing w:line="276" w:lineRule="auto"/>
        <w:jc w:val="both"/>
        <w:rPr>
          <w:rFonts w:eastAsia="Calibri" w:cs="Arial"/>
          <w:szCs w:val="20"/>
        </w:rPr>
      </w:pPr>
      <w:r w:rsidRPr="008C2843">
        <w:rPr>
          <w:rFonts w:eastAsia="Calibri" w:cs="Arial"/>
          <w:b/>
          <w:bCs/>
          <w:szCs w:val="20"/>
        </w:rPr>
        <w:t>Updates:</w:t>
      </w:r>
      <w:r w:rsidRPr="008C2843">
        <w:rPr>
          <w:rFonts w:eastAsia="Calibri" w:cs="Arial"/>
          <w:szCs w:val="20"/>
        </w:rPr>
        <w:t xml:space="preserve"> </w:t>
      </w:r>
      <w:r w:rsidRPr="008C2843">
        <w:rPr>
          <w:rFonts w:cs="Arial"/>
          <w:b/>
          <w:bCs/>
          <w:szCs w:val="20"/>
          <w:highlight w:val="yellow"/>
          <w:lang w:val="en-AU"/>
        </w:rPr>
        <w:t>Party 1</w:t>
      </w:r>
      <w:r w:rsidRPr="008C2843">
        <w:rPr>
          <w:rFonts w:eastAsia="Calibri" w:cs="Arial"/>
          <w:szCs w:val="20"/>
        </w:rPr>
        <w:t xml:space="preserve"> will keep TNSDC management updated with the progress of the program(s)</w:t>
      </w:r>
    </w:p>
    <w:p w14:paraId="7B925DC6" w14:textId="77777777" w:rsidR="002A452A" w:rsidRPr="008C2843" w:rsidRDefault="002A452A" w:rsidP="00FC3619">
      <w:pPr>
        <w:pStyle w:val="ListParagraph"/>
        <w:widowControl w:val="0"/>
        <w:shd w:val="clear" w:color="auto" w:fill="FFFFFF"/>
        <w:spacing w:line="276" w:lineRule="auto"/>
        <w:ind w:left="900"/>
        <w:jc w:val="both"/>
        <w:rPr>
          <w:rFonts w:eastAsia="Calibri" w:cs="Arial"/>
          <w:b/>
          <w:bCs/>
          <w:szCs w:val="20"/>
        </w:rPr>
      </w:pPr>
    </w:p>
    <w:p w14:paraId="39245F41" w14:textId="77777777" w:rsidR="002A452A" w:rsidRPr="008C2843" w:rsidRDefault="002A452A" w:rsidP="00FC3619">
      <w:pPr>
        <w:pStyle w:val="ListParagraph"/>
        <w:widowControl w:val="0"/>
        <w:shd w:val="clear" w:color="auto" w:fill="FFFFFF"/>
        <w:spacing w:line="276" w:lineRule="auto"/>
        <w:ind w:left="900"/>
        <w:jc w:val="both"/>
        <w:rPr>
          <w:rFonts w:eastAsia="Calibri" w:cs="Arial"/>
          <w:b/>
          <w:bCs/>
          <w:szCs w:val="20"/>
        </w:rPr>
      </w:pPr>
    </w:p>
    <w:p w14:paraId="436710DD" w14:textId="29B08402" w:rsidR="002A452A" w:rsidRPr="00DE0086" w:rsidRDefault="00DE0086" w:rsidP="00DE0086">
      <w:pPr>
        <w:widowControl w:val="0"/>
        <w:shd w:val="clear" w:color="auto" w:fill="FFFFFF"/>
        <w:spacing w:line="276" w:lineRule="auto"/>
        <w:jc w:val="both"/>
        <w:rPr>
          <w:rFonts w:eastAsia="Calibri" w:cs="Arial"/>
          <w:b/>
          <w:bCs/>
          <w:szCs w:val="20"/>
        </w:rPr>
      </w:pPr>
      <w:r>
        <w:rPr>
          <w:rFonts w:eastAsia="Calibri" w:cs="Arial"/>
          <w:b/>
          <w:bCs/>
          <w:szCs w:val="20"/>
        </w:rPr>
        <w:t xml:space="preserve">4.2 </w:t>
      </w:r>
      <w:r w:rsidR="002A452A" w:rsidRPr="00DE0086">
        <w:rPr>
          <w:rFonts w:eastAsia="Calibri" w:cs="Arial"/>
          <w:b/>
          <w:bCs/>
          <w:szCs w:val="20"/>
        </w:rPr>
        <w:t xml:space="preserve">Responsibilities of TNSDC and/or its learner communities: </w:t>
      </w:r>
    </w:p>
    <w:p w14:paraId="63FEB65D" w14:textId="3761FCD6" w:rsidR="002A452A" w:rsidRPr="008C2843" w:rsidRDefault="002A452A" w:rsidP="00FC3619">
      <w:pPr>
        <w:pStyle w:val="ListParagraph"/>
        <w:widowControl w:val="0"/>
        <w:numPr>
          <w:ilvl w:val="0"/>
          <w:numId w:val="7"/>
        </w:numPr>
        <w:shd w:val="clear" w:color="auto" w:fill="FFFFFF"/>
        <w:spacing w:line="276" w:lineRule="auto"/>
        <w:jc w:val="both"/>
        <w:rPr>
          <w:rFonts w:eastAsia="Calibri" w:cs="Arial"/>
          <w:szCs w:val="20"/>
        </w:rPr>
      </w:pPr>
      <w:r w:rsidRPr="008C2843">
        <w:rPr>
          <w:rFonts w:eastAsia="Calibri" w:cs="Arial"/>
          <w:b/>
          <w:bCs/>
          <w:szCs w:val="20"/>
        </w:rPr>
        <w:t>Single Point of Contact</w:t>
      </w:r>
      <w:r w:rsidRPr="008C2843">
        <w:rPr>
          <w:rFonts w:eastAsia="Calibri" w:cs="Arial"/>
          <w:szCs w:val="20"/>
        </w:rPr>
        <w:t xml:space="preserve">: TNSDC will nominate one of its team members as the single point of contact for all interactions with </w:t>
      </w:r>
      <w:r w:rsidR="0013546F" w:rsidRPr="008C2843">
        <w:rPr>
          <w:rFonts w:cs="Arial"/>
          <w:b/>
          <w:bCs/>
          <w:szCs w:val="20"/>
          <w:highlight w:val="yellow"/>
          <w:lang w:val="en-AU"/>
        </w:rPr>
        <w:t>Party 1</w:t>
      </w:r>
      <w:r w:rsidRPr="008C2843">
        <w:rPr>
          <w:rFonts w:eastAsia="Calibri" w:cs="Arial"/>
          <w:szCs w:val="20"/>
        </w:rPr>
        <w:t>.</w:t>
      </w:r>
    </w:p>
    <w:p w14:paraId="3DA703F3" w14:textId="72DA264D" w:rsidR="002A452A" w:rsidRPr="008C2843" w:rsidRDefault="002A452A" w:rsidP="00FC3619">
      <w:pPr>
        <w:pStyle w:val="ListParagraph"/>
        <w:widowControl w:val="0"/>
        <w:numPr>
          <w:ilvl w:val="0"/>
          <w:numId w:val="7"/>
        </w:numPr>
        <w:shd w:val="clear" w:color="auto" w:fill="FFFFFF"/>
        <w:spacing w:line="276" w:lineRule="auto"/>
        <w:jc w:val="both"/>
        <w:rPr>
          <w:rFonts w:eastAsia="Calibri" w:cs="Arial"/>
          <w:szCs w:val="20"/>
        </w:rPr>
      </w:pPr>
      <w:r w:rsidRPr="008C2843">
        <w:rPr>
          <w:rFonts w:eastAsia="Calibri" w:cs="Arial"/>
          <w:b/>
          <w:bCs/>
          <w:szCs w:val="20"/>
        </w:rPr>
        <w:t>Introduction to member institutions and/or learner communities</w:t>
      </w:r>
      <w:r w:rsidRPr="008C2843">
        <w:rPr>
          <w:rFonts w:eastAsia="Calibri" w:cs="Arial"/>
          <w:szCs w:val="20"/>
        </w:rPr>
        <w:t xml:space="preserve">: TNSDC will introduce its member institutions and/or learners to </w:t>
      </w:r>
      <w:r w:rsidR="0013546F" w:rsidRPr="008C2843">
        <w:rPr>
          <w:rFonts w:cs="Arial"/>
          <w:b/>
          <w:bCs/>
          <w:szCs w:val="20"/>
          <w:highlight w:val="yellow"/>
          <w:lang w:val="en-AU"/>
        </w:rPr>
        <w:t>Party 1</w:t>
      </w:r>
      <w:r w:rsidRPr="008C2843">
        <w:rPr>
          <w:rFonts w:eastAsia="Calibri" w:cs="Arial"/>
          <w:szCs w:val="20"/>
        </w:rPr>
        <w:t xml:space="preserve"> and its programs so that they could benefit from free participation in these programs. TNSDC will help mobilize institutes and students / teachers in its program</w:t>
      </w:r>
    </w:p>
    <w:p w14:paraId="4B4F45E9" w14:textId="2D548737" w:rsidR="002A452A" w:rsidRPr="008C2843" w:rsidRDefault="002A452A" w:rsidP="00FC3619">
      <w:pPr>
        <w:pStyle w:val="ListParagraph"/>
        <w:widowControl w:val="0"/>
        <w:numPr>
          <w:ilvl w:val="0"/>
          <w:numId w:val="7"/>
        </w:numPr>
        <w:shd w:val="clear" w:color="auto" w:fill="FFFFFF"/>
        <w:spacing w:line="276" w:lineRule="auto"/>
        <w:jc w:val="both"/>
        <w:rPr>
          <w:rFonts w:eastAsia="Calibri" w:cs="Arial"/>
          <w:szCs w:val="20"/>
        </w:rPr>
      </w:pPr>
      <w:r w:rsidRPr="008C2843">
        <w:rPr>
          <w:rFonts w:eastAsia="Calibri" w:cs="Arial"/>
          <w:b/>
          <w:bCs/>
          <w:szCs w:val="20"/>
        </w:rPr>
        <w:t>Support with orientation sessions</w:t>
      </w:r>
      <w:r w:rsidRPr="008C2843">
        <w:rPr>
          <w:rFonts w:eastAsia="Calibri" w:cs="Arial"/>
          <w:szCs w:val="20"/>
        </w:rPr>
        <w:t xml:space="preserve">: TNSDC and/or its learner communities/institutions will help </w:t>
      </w:r>
      <w:r w:rsidR="0013546F" w:rsidRPr="008C2843">
        <w:rPr>
          <w:rFonts w:cs="Arial"/>
          <w:b/>
          <w:bCs/>
          <w:szCs w:val="20"/>
          <w:highlight w:val="yellow"/>
          <w:lang w:val="en-AU"/>
        </w:rPr>
        <w:t>Party 1</w:t>
      </w:r>
      <w:r w:rsidR="0013546F" w:rsidRPr="008C2843">
        <w:rPr>
          <w:rFonts w:cs="Arial"/>
          <w:b/>
          <w:bCs/>
          <w:szCs w:val="20"/>
          <w:lang w:val="en-AU"/>
        </w:rPr>
        <w:t xml:space="preserve"> </w:t>
      </w:r>
      <w:r w:rsidRPr="008C2843">
        <w:rPr>
          <w:rFonts w:eastAsia="Calibri" w:cs="Arial"/>
          <w:szCs w:val="20"/>
        </w:rPr>
        <w:t>conduct orientation sessions for all stakeholders by issuing necessary circulars and ensuring participation of institutes</w:t>
      </w:r>
    </w:p>
    <w:p w14:paraId="3B39E42C" w14:textId="4A37903F" w:rsidR="002A452A" w:rsidRPr="008C2843" w:rsidRDefault="002A452A" w:rsidP="00FC3619">
      <w:pPr>
        <w:pStyle w:val="ListParagraph"/>
        <w:widowControl w:val="0"/>
        <w:numPr>
          <w:ilvl w:val="0"/>
          <w:numId w:val="7"/>
        </w:numPr>
        <w:shd w:val="clear" w:color="auto" w:fill="FFFFFF"/>
        <w:spacing w:line="276" w:lineRule="auto"/>
        <w:jc w:val="both"/>
        <w:rPr>
          <w:rFonts w:eastAsia="Calibri" w:cs="Arial"/>
          <w:szCs w:val="20"/>
        </w:rPr>
      </w:pPr>
      <w:r w:rsidRPr="008C2843">
        <w:rPr>
          <w:rFonts w:eastAsia="Calibri" w:cs="Arial"/>
          <w:b/>
          <w:bCs/>
          <w:szCs w:val="20"/>
        </w:rPr>
        <w:t>Publication of program calendars and goals</w:t>
      </w:r>
      <w:r w:rsidRPr="008C2843">
        <w:rPr>
          <w:rFonts w:eastAsia="Calibri" w:cs="Arial"/>
          <w:szCs w:val="20"/>
        </w:rPr>
        <w:t xml:space="preserve">: TNSDC member learner communities/institutions will publish, on a quarterly basis, a program calendar for all its participants in consultation with </w:t>
      </w:r>
      <w:r w:rsidR="0013546F" w:rsidRPr="008C2843">
        <w:rPr>
          <w:rFonts w:cs="Arial"/>
          <w:b/>
          <w:bCs/>
          <w:szCs w:val="20"/>
          <w:highlight w:val="yellow"/>
          <w:lang w:val="en-AU"/>
        </w:rPr>
        <w:t>Party 1</w:t>
      </w:r>
      <w:r w:rsidRPr="008C2843">
        <w:rPr>
          <w:rFonts w:eastAsia="Calibri" w:cs="Arial"/>
          <w:szCs w:val="20"/>
        </w:rPr>
        <w:t xml:space="preserve">. </w:t>
      </w:r>
    </w:p>
    <w:p w14:paraId="36F32E5F" w14:textId="77777777" w:rsidR="002A452A" w:rsidRPr="008C2843" w:rsidRDefault="002A452A" w:rsidP="00FC3619">
      <w:pPr>
        <w:pStyle w:val="ListParagraph"/>
        <w:widowControl w:val="0"/>
        <w:numPr>
          <w:ilvl w:val="0"/>
          <w:numId w:val="7"/>
        </w:numPr>
        <w:shd w:val="clear" w:color="auto" w:fill="FFFFFF"/>
        <w:spacing w:line="276" w:lineRule="auto"/>
        <w:jc w:val="both"/>
        <w:rPr>
          <w:rFonts w:eastAsia="Calibri" w:cs="Arial"/>
          <w:szCs w:val="20"/>
        </w:rPr>
      </w:pPr>
      <w:r w:rsidRPr="008C2843">
        <w:rPr>
          <w:rFonts w:eastAsia="Calibri" w:cs="Arial"/>
          <w:b/>
          <w:bCs/>
          <w:szCs w:val="20"/>
        </w:rPr>
        <w:t>Support with computers labs and classrooms</w:t>
      </w:r>
      <w:r w:rsidRPr="008C2843">
        <w:rPr>
          <w:rFonts w:eastAsia="Calibri" w:cs="Arial"/>
          <w:szCs w:val="20"/>
        </w:rPr>
        <w:t>: Participating TNSDC member learner communities/institutions will make their labs available to learners. They will make classrooms and/or audio-visual equipment available for face-to-face sessions, whenever required.</w:t>
      </w:r>
    </w:p>
    <w:p w14:paraId="3CF36D37" w14:textId="77777777" w:rsidR="004549DB" w:rsidRPr="004549DB" w:rsidRDefault="002A452A" w:rsidP="007442BB">
      <w:pPr>
        <w:pStyle w:val="ListParagraph"/>
        <w:widowControl w:val="0"/>
        <w:numPr>
          <w:ilvl w:val="0"/>
          <w:numId w:val="7"/>
        </w:numPr>
        <w:shd w:val="clear" w:color="auto" w:fill="FFFFFF"/>
        <w:spacing w:line="276" w:lineRule="auto"/>
        <w:jc w:val="both"/>
        <w:rPr>
          <w:rFonts w:cs="Arial"/>
          <w:b/>
          <w:bCs/>
          <w:szCs w:val="20"/>
          <w:lang w:val="en-AU"/>
        </w:rPr>
      </w:pPr>
      <w:r w:rsidRPr="004549DB">
        <w:rPr>
          <w:rFonts w:eastAsia="Calibri" w:cs="Arial"/>
          <w:b/>
          <w:bCs/>
          <w:szCs w:val="20"/>
        </w:rPr>
        <w:t>Support with attendance</w:t>
      </w:r>
      <w:r w:rsidRPr="004549DB">
        <w:rPr>
          <w:rFonts w:eastAsia="Calibri" w:cs="Arial"/>
          <w:szCs w:val="20"/>
        </w:rPr>
        <w:t xml:space="preserve">: TNSDC member learner communities/institutions will ensure that program participants enthusiastically participate in chosen programs, with minimum attendance as agreed between the Parties. </w:t>
      </w:r>
    </w:p>
    <w:p w14:paraId="49E6C8B2" w14:textId="1106623D" w:rsidR="00FE785E" w:rsidRPr="004549DB" w:rsidRDefault="002A452A" w:rsidP="007442BB">
      <w:pPr>
        <w:pStyle w:val="ListParagraph"/>
        <w:widowControl w:val="0"/>
        <w:numPr>
          <w:ilvl w:val="0"/>
          <w:numId w:val="7"/>
        </w:numPr>
        <w:shd w:val="clear" w:color="auto" w:fill="FFFFFF"/>
        <w:spacing w:line="276" w:lineRule="auto"/>
        <w:jc w:val="both"/>
        <w:rPr>
          <w:rFonts w:cs="Arial"/>
          <w:b/>
          <w:bCs/>
          <w:szCs w:val="20"/>
          <w:lang w:val="en-AU"/>
        </w:rPr>
      </w:pPr>
      <w:r w:rsidRPr="004549DB">
        <w:rPr>
          <w:rFonts w:eastAsia="Calibri" w:cs="Arial"/>
          <w:b/>
          <w:bCs/>
          <w:szCs w:val="20"/>
        </w:rPr>
        <w:t>Support with assessments</w:t>
      </w:r>
      <w:r w:rsidRPr="004549DB">
        <w:rPr>
          <w:rFonts w:eastAsia="Calibri" w:cs="Arial"/>
          <w:szCs w:val="20"/>
        </w:rPr>
        <w:t xml:space="preserve">: TNSDC member learner communities/institutions will ensure that assessments carried onsite, wherever required, are proctored and professionally managed in coordination </w:t>
      </w:r>
      <w:r w:rsidR="0013546F" w:rsidRPr="004549DB">
        <w:rPr>
          <w:rFonts w:cs="Arial"/>
          <w:b/>
          <w:bCs/>
          <w:szCs w:val="20"/>
          <w:highlight w:val="yellow"/>
          <w:lang w:val="en-AU"/>
        </w:rPr>
        <w:t>Party 1</w:t>
      </w:r>
    </w:p>
    <w:p w14:paraId="65744202" w14:textId="38152A28" w:rsidR="00F566F8" w:rsidRPr="008C2843" w:rsidRDefault="00F566F8" w:rsidP="00FC3619">
      <w:pPr>
        <w:spacing w:line="276" w:lineRule="auto"/>
        <w:rPr>
          <w:rFonts w:cs="Arial"/>
          <w:b/>
          <w:bCs/>
          <w:szCs w:val="20"/>
          <w:lang w:val="en-AU"/>
        </w:rPr>
      </w:pPr>
    </w:p>
    <w:p w14:paraId="28E50CA8" w14:textId="0F20A571" w:rsidR="00F566F8" w:rsidRPr="008C2843" w:rsidRDefault="00F566F8" w:rsidP="00FC3619">
      <w:pPr>
        <w:pStyle w:val="BodyText"/>
        <w:keepNext/>
        <w:widowControl/>
        <w:numPr>
          <w:ilvl w:val="0"/>
          <w:numId w:val="1"/>
        </w:numPr>
        <w:spacing w:line="276" w:lineRule="auto"/>
        <w:ind w:left="432" w:hanging="432"/>
        <w:jc w:val="both"/>
        <w:rPr>
          <w:rFonts w:cs="Arial"/>
          <w:b/>
          <w:sz w:val="20"/>
          <w:lang w:val="en-GB"/>
        </w:rPr>
      </w:pPr>
      <w:bookmarkStart w:id="0" w:name="_Hlk120721625"/>
      <w:r w:rsidRPr="008C2843">
        <w:rPr>
          <w:rFonts w:cs="Arial"/>
          <w:b/>
          <w:sz w:val="20"/>
          <w:lang w:val="en-GB"/>
        </w:rPr>
        <w:t>CHANGES IN SCOPE</w:t>
      </w:r>
      <w:bookmarkEnd w:id="0"/>
    </w:p>
    <w:p w14:paraId="3BA47D0E" w14:textId="77777777" w:rsidR="0065588A" w:rsidRPr="008C2843" w:rsidRDefault="0065588A" w:rsidP="00FC3619">
      <w:pPr>
        <w:pStyle w:val="BodyText"/>
        <w:keepNext/>
        <w:widowControl/>
        <w:spacing w:line="276" w:lineRule="auto"/>
        <w:jc w:val="both"/>
        <w:rPr>
          <w:rFonts w:cs="Arial"/>
          <w:color w:val="000000" w:themeColor="text1"/>
          <w:sz w:val="20"/>
        </w:rPr>
      </w:pPr>
    </w:p>
    <w:p w14:paraId="72779E63" w14:textId="3858F217" w:rsidR="00F566F8" w:rsidRPr="008C2843" w:rsidRDefault="0065588A" w:rsidP="00FC3619">
      <w:pPr>
        <w:pStyle w:val="BodyText"/>
        <w:keepNext/>
        <w:widowControl/>
        <w:spacing w:line="276" w:lineRule="auto"/>
        <w:jc w:val="both"/>
        <w:rPr>
          <w:rFonts w:cs="Arial"/>
          <w:color w:val="000000" w:themeColor="text1"/>
          <w:sz w:val="20"/>
        </w:rPr>
      </w:pPr>
      <w:r w:rsidRPr="008C2843">
        <w:rPr>
          <w:rFonts w:cs="Arial"/>
          <w:color w:val="000000" w:themeColor="text1"/>
          <w:sz w:val="20"/>
        </w:rPr>
        <w:t>The Parties acknowledge and agree that the Areas of Collaboration are not exhaustive in nature and the Parties shall in good faith, negotiate to elaborate upon the Areas of Collaboration, including additional areas of collaboration as may be mutually agreed in writing and the rights, responsibilities, and obligations of each Party in relation to each of the Areas of Collaboration. The Parties may, from time to time, execute addenda or modifications to this MOU to incorporate such additional scope of collaboration or discussions as per the need.</w:t>
      </w:r>
    </w:p>
    <w:p w14:paraId="2C22257E" w14:textId="77777777" w:rsidR="0065588A" w:rsidRPr="008C2843" w:rsidRDefault="0065588A" w:rsidP="00FC3619">
      <w:pPr>
        <w:pStyle w:val="BodyText"/>
        <w:keepNext/>
        <w:widowControl/>
        <w:spacing w:line="276" w:lineRule="auto"/>
        <w:jc w:val="both"/>
        <w:rPr>
          <w:rFonts w:cs="Arial"/>
          <w:b/>
          <w:sz w:val="20"/>
          <w:lang w:val="en-GB"/>
        </w:rPr>
      </w:pPr>
    </w:p>
    <w:p w14:paraId="5CB25ABC" w14:textId="5F88B955" w:rsidR="0065588A" w:rsidRPr="008C2843" w:rsidRDefault="0065588A" w:rsidP="00FC3619">
      <w:pPr>
        <w:pStyle w:val="BodyText"/>
        <w:keepNext/>
        <w:widowControl/>
        <w:numPr>
          <w:ilvl w:val="0"/>
          <w:numId w:val="1"/>
        </w:numPr>
        <w:spacing w:line="276" w:lineRule="auto"/>
        <w:ind w:left="432" w:hanging="432"/>
        <w:jc w:val="both"/>
        <w:rPr>
          <w:rFonts w:cs="Arial"/>
          <w:b/>
          <w:sz w:val="20"/>
          <w:lang w:val="en-GB"/>
        </w:rPr>
      </w:pPr>
      <w:r w:rsidRPr="008C2843">
        <w:rPr>
          <w:rFonts w:cs="Arial"/>
          <w:b/>
          <w:sz w:val="20"/>
          <w:lang w:val="en-GB"/>
        </w:rPr>
        <w:t>USE OF BRANDING, LOGOS, TRADEMARKS</w:t>
      </w:r>
    </w:p>
    <w:p w14:paraId="1B3AE6C5" w14:textId="77777777" w:rsidR="0065588A" w:rsidRPr="008C2843" w:rsidRDefault="0065588A" w:rsidP="00FC3619">
      <w:pPr>
        <w:pStyle w:val="BodyText"/>
        <w:keepNext/>
        <w:widowControl/>
        <w:spacing w:line="276" w:lineRule="auto"/>
        <w:jc w:val="both"/>
        <w:rPr>
          <w:rFonts w:cs="Arial"/>
          <w:b/>
          <w:sz w:val="20"/>
          <w:lang w:val="en-GB"/>
        </w:rPr>
      </w:pPr>
    </w:p>
    <w:p w14:paraId="018878BB" w14:textId="22848757" w:rsidR="003F6591" w:rsidRDefault="003F6591" w:rsidP="003F6591">
      <w:pPr>
        <w:pStyle w:val="BodyText"/>
        <w:keepNext/>
        <w:spacing w:line="276" w:lineRule="auto"/>
        <w:jc w:val="both"/>
        <w:rPr>
          <w:rFonts w:cs="Arial"/>
          <w:bCs/>
          <w:sz w:val="20"/>
          <w:lang w:val="en-GB"/>
        </w:rPr>
      </w:pPr>
      <w:r w:rsidRPr="003F6591">
        <w:rPr>
          <w:rFonts w:cs="Arial"/>
          <w:bCs/>
          <w:sz w:val="20"/>
          <w:lang w:val="en-GB"/>
        </w:rPr>
        <w:t>Both parties shall use the trademarks, logos, trade names, services marks, or other proprietary marks of the other Party to this MOU in any advertising, press releases, publicity matters, or other promotional materials with prior approval of the other Party. The parties agree and recognize that the right to use the same in no manner amounts to any assignment or transfer of ownership of the trademarks, logos, trade names, services marks, or other proprietary marks. The parties further agree that the use of the Intellectual Property will not extend beyond the scope of the present MOU.</w:t>
      </w:r>
    </w:p>
    <w:p w14:paraId="5148EAFF" w14:textId="77777777" w:rsidR="003F6591" w:rsidRDefault="003F6591" w:rsidP="003F6591">
      <w:pPr>
        <w:pStyle w:val="BodyText"/>
        <w:keepNext/>
        <w:spacing w:line="276" w:lineRule="auto"/>
        <w:jc w:val="both"/>
        <w:rPr>
          <w:rFonts w:cs="Arial"/>
          <w:bCs/>
          <w:sz w:val="20"/>
          <w:lang w:val="en-GB"/>
        </w:rPr>
      </w:pPr>
    </w:p>
    <w:p w14:paraId="7F0272FF" w14:textId="3971CF1D" w:rsidR="003F6591" w:rsidRPr="003F6591" w:rsidRDefault="003F6591" w:rsidP="003F6591">
      <w:pPr>
        <w:pStyle w:val="BodyText"/>
        <w:keepNext/>
        <w:widowControl/>
        <w:numPr>
          <w:ilvl w:val="0"/>
          <w:numId w:val="1"/>
        </w:numPr>
        <w:spacing w:line="276" w:lineRule="auto"/>
        <w:ind w:left="432" w:hanging="432"/>
        <w:jc w:val="both"/>
        <w:rPr>
          <w:rFonts w:cs="Arial"/>
          <w:b/>
          <w:sz w:val="20"/>
          <w:lang w:val="en-GB"/>
        </w:rPr>
      </w:pPr>
      <w:r w:rsidRPr="003F6591">
        <w:rPr>
          <w:rFonts w:cs="Arial"/>
          <w:b/>
          <w:sz w:val="20"/>
          <w:lang w:val="en-GB"/>
        </w:rPr>
        <w:t>TERM OF MOU AND TERMINATION</w:t>
      </w:r>
    </w:p>
    <w:p w14:paraId="1C02AF61" w14:textId="77777777" w:rsidR="003F6591" w:rsidRPr="003F6591" w:rsidRDefault="003F6591" w:rsidP="003F6591">
      <w:pPr>
        <w:pStyle w:val="BodyText"/>
        <w:keepNext/>
        <w:spacing w:line="276" w:lineRule="auto"/>
        <w:jc w:val="both"/>
        <w:rPr>
          <w:rFonts w:cs="Arial"/>
          <w:bCs/>
          <w:sz w:val="20"/>
          <w:lang w:val="en-GB"/>
        </w:rPr>
      </w:pPr>
    </w:p>
    <w:p w14:paraId="2E0ED0C4" w14:textId="77777777" w:rsidR="003F6591" w:rsidRPr="003F6591" w:rsidRDefault="003F6591" w:rsidP="003F6591">
      <w:pPr>
        <w:pStyle w:val="BodyText"/>
        <w:keepNext/>
        <w:spacing w:line="276" w:lineRule="auto"/>
        <w:jc w:val="both"/>
        <w:rPr>
          <w:rFonts w:cs="Arial"/>
          <w:bCs/>
          <w:sz w:val="20"/>
          <w:lang w:val="en-GB"/>
        </w:rPr>
      </w:pPr>
      <w:r w:rsidRPr="003F6591">
        <w:rPr>
          <w:rFonts w:cs="Arial"/>
          <w:bCs/>
          <w:sz w:val="20"/>
          <w:lang w:val="en-GB"/>
        </w:rPr>
        <w:t xml:space="preserve">The term of this MOU is one year from the Effective Date (the “initial term”) and the Agreement shall automatically renew for subsequent one (1) year terms (each a “renewal term”) thereafter, unless </w:t>
      </w:r>
      <w:r w:rsidRPr="003F6591">
        <w:rPr>
          <w:rFonts w:cs="Arial"/>
          <w:bCs/>
          <w:sz w:val="20"/>
          <w:lang w:val="en-GB"/>
        </w:rPr>
        <w:lastRenderedPageBreak/>
        <w:t xml:space="preserve">terminated </w:t>
      </w:r>
    </w:p>
    <w:p w14:paraId="096BAF58" w14:textId="77777777" w:rsidR="003F6591" w:rsidRPr="003F6591" w:rsidRDefault="003F6591" w:rsidP="003F6591">
      <w:pPr>
        <w:pStyle w:val="BodyText"/>
        <w:keepNext/>
        <w:spacing w:line="276" w:lineRule="auto"/>
        <w:jc w:val="both"/>
        <w:rPr>
          <w:rFonts w:cs="Arial"/>
          <w:bCs/>
          <w:sz w:val="20"/>
          <w:lang w:val="en-GB"/>
        </w:rPr>
      </w:pPr>
      <w:r w:rsidRPr="003F6591">
        <w:rPr>
          <w:rFonts w:cs="Arial"/>
          <w:bCs/>
          <w:sz w:val="20"/>
          <w:lang w:val="en-GB"/>
        </w:rPr>
        <w:t>by either party by giving the other party a written notice of at least 3 months.</w:t>
      </w:r>
    </w:p>
    <w:p w14:paraId="03328908" w14:textId="26D23E3D" w:rsidR="003F6591" w:rsidRDefault="003F6591" w:rsidP="003F6591">
      <w:pPr>
        <w:pStyle w:val="BodyText"/>
        <w:keepNext/>
        <w:spacing w:line="276" w:lineRule="auto"/>
        <w:jc w:val="both"/>
        <w:rPr>
          <w:rFonts w:cs="Arial"/>
          <w:bCs/>
          <w:sz w:val="20"/>
          <w:lang w:val="en-GB"/>
        </w:rPr>
      </w:pPr>
    </w:p>
    <w:p w14:paraId="29C7CEFC" w14:textId="42E2DA25" w:rsidR="003F6591" w:rsidRPr="003F6591" w:rsidRDefault="003F6591" w:rsidP="003F6591">
      <w:pPr>
        <w:pStyle w:val="BodyText"/>
        <w:keepNext/>
        <w:widowControl/>
        <w:numPr>
          <w:ilvl w:val="0"/>
          <w:numId w:val="1"/>
        </w:numPr>
        <w:spacing w:line="276" w:lineRule="auto"/>
        <w:ind w:left="432" w:hanging="432"/>
        <w:jc w:val="both"/>
        <w:rPr>
          <w:rFonts w:cs="Arial"/>
          <w:b/>
          <w:sz w:val="20"/>
          <w:lang w:val="en-GB"/>
        </w:rPr>
      </w:pPr>
      <w:r w:rsidRPr="003F6591">
        <w:rPr>
          <w:rFonts w:cs="Arial"/>
          <w:b/>
          <w:sz w:val="20"/>
          <w:lang w:val="en-GB"/>
        </w:rPr>
        <w:t>TERM</w:t>
      </w:r>
      <w:r>
        <w:rPr>
          <w:rFonts w:cs="Arial"/>
          <w:b/>
          <w:sz w:val="20"/>
          <w:lang w:val="en-GB"/>
        </w:rPr>
        <w:t>S</w:t>
      </w:r>
    </w:p>
    <w:p w14:paraId="341C77A6" w14:textId="77777777" w:rsidR="003F6591" w:rsidRDefault="003F6591" w:rsidP="003F6591">
      <w:pPr>
        <w:pStyle w:val="BodyText"/>
        <w:keepNext/>
        <w:spacing w:line="276" w:lineRule="auto"/>
        <w:jc w:val="both"/>
        <w:rPr>
          <w:rFonts w:cs="Arial"/>
          <w:bCs/>
          <w:sz w:val="20"/>
          <w:lang w:val="en-GB"/>
        </w:rPr>
      </w:pPr>
    </w:p>
    <w:p w14:paraId="30B1FB94" w14:textId="73893F1C" w:rsidR="003F6591" w:rsidRPr="00BD6DBA" w:rsidRDefault="003F6591" w:rsidP="003F6591">
      <w:pPr>
        <w:pStyle w:val="BodyText"/>
        <w:keepNext/>
        <w:spacing w:line="276" w:lineRule="auto"/>
        <w:jc w:val="both"/>
        <w:rPr>
          <w:rFonts w:cs="Arial"/>
          <w:b/>
          <w:sz w:val="20"/>
          <w:lang w:val="en-GB"/>
        </w:rPr>
      </w:pPr>
      <w:r w:rsidRPr="00BD6DBA">
        <w:rPr>
          <w:rFonts w:cs="Arial"/>
          <w:b/>
          <w:sz w:val="20"/>
          <w:lang w:val="en-GB"/>
        </w:rPr>
        <w:t>8.1 Costs and Expenses</w:t>
      </w:r>
    </w:p>
    <w:p w14:paraId="370D21ED" w14:textId="77777777" w:rsidR="003F6591" w:rsidRPr="003F6591" w:rsidRDefault="003F6591" w:rsidP="003F6591">
      <w:pPr>
        <w:pStyle w:val="BodyText"/>
        <w:keepNext/>
        <w:spacing w:line="276" w:lineRule="auto"/>
        <w:jc w:val="both"/>
        <w:rPr>
          <w:rFonts w:cs="Arial"/>
          <w:bCs/>
          <w:sz w:val="20"/>
          <w:lang w:val="en-GB"/>
        </w:rPr>
      </w:pPr>
      <w:r w:rsidRPr="003F6591">
        <w:rPr>
          <w:rFonts w:cs="Arial"/>
          <w:bCs/>
          <w:sz w:val="20"/>
          <w:lang w:val="en-GB"/>
        </w:rPr>
        <w:t xml:space="preserve">Both Parties shall be responsible for meeting their own expenses in connection with all matters related to MOU. </w:t>
      </w:r>
    </w:p>
    <w:p w14:paraId="0DDB4DAE" w14:textId="77777777" w:rsidR="003F6591" w:rsidRPr="003F6591" w:rsidRDefault="003F6591" w:rsidP="003F6591">
      <w:pPr>
        <w:pStyle w:val="BodyText"/>
        <w:keepNext/>
        <w:spacing w:line="276" w:lineRule="auto"/>
        <w:jc w:val="both"/>
        <w:rPr>
          <w:rFonts w:cs="Arial"/>
          <w:bCs/>
          <w:sz w:val="20"/>
          <w:lang w:val="en-GB"/>
        </w:rPr>
      </w:pPr>
    </w:p>
    <w:p w14:paraId="313FB1C0" w14:textId="0515235A" w:rsidR="003F6591" w:rsidRPr="00BD6DBA" w:rsidRDefault="003F6591" w:rsidP="003F6591">
      <w:pPr>
        <w:pStyle w:val="BodyText"/>
        <w:keepNext/>
        <w:spacing w:line="276" w:lineRule="auto"/>
        <w:jc w:val="both"/>
        <w:rPr>
          <w:rFonts w:cs="Arial"/>
          <w:b/>
          <w:sz w:val="20"/>
          <w:lang w:val="en-GB"/>
        </w:rPr>
      </w:pPr>
      <w:r w:rsidRPr="00BD6DBA">
        <w:rPr>
          <w:rFonts w:cs="Arial"/>
          <w:b/>
          <w:sz w:val="20"/>
          <w:lang w:val="en-GB"/>
        </w:rPr>
        <w:t>8.2 Assignment</w:t>
      </w:r>
    </w:p>
    <w:p w14:paraId="7392ECA9" w14:textId="77777777" w:rsidR="003F6591" w:rsidRPr="003F6591" w:rsidRDefault="003F6591" w:rsidP="003F6591">
      <w:pPr>
        <w:pStyle w:val="BodyText"/>
        <w:keepNext/>
        <w:spacing w:line="276" w:lineRule="auto"/>
        <w:jc w:val="both"/>
        <w:rPr>
          <w:rFonts w:cs="Arial"/>
          <w:bCs/>
          <w:sz w:val="20"/>
          <w:lang w:val="en-GB"/>
        </w:rPr>
      </w:pPr>
      <w:r w:rsidRPr="003F6591">
        <w:rPr>
          <w:rFonts w:cs="Arial"/>
          <w:bCs/>
          <w:sz w:val="20"/>
          <w:lang w:val="en-GB"/>
        </w:rPr>
        <w:t xml:space="preserve">Neither of the Parties shall assign any of their duties under this MOU to any other person or institution without prior written approval of other party. </w:t>
      </w:r>
    </w:p>
    <w:p w14:paraId="668E0E65" w14:textId="77777777" w:rsidR="003F6591" w:rsidRPr="003F6591" w:rsidRDefault="003F6591" w:rsidP="003F6591">
      <w:pPr>
        <w:pStyle w:val="BodyText"/>
        <w:keepNext/>
        <w:spacing w:line="276" w:lineRule="auto"/>
        <w:jc w:val="both"/>
        <w:rPr>
          <w:rFonts w:cs="Arial"/>
          <w:bCs/>
          <w:sz w:val="20"/>
          <w:lang w:val="en-GB"/>
        </w:rPr>
      </w:pPr>
    </w:p>
    <w:p w14:paraId="72CB3465" w14:textId="0DB8C28E" w:rsidR="003F6591" w:rsidRPr="00BD6DBA" w:rsidRDefault="003F6591" w:rsidP="003F6591">
      <w:pPr>
        <w:pStyle w:val="BodyText"/>
        <w:keepNext/>
        <w:spacing w:line="276" w:lineRule="auto"/>
        <w:jc w:val="both"/>
        <w:rPr>
          <w:rFonts w:cs="Arial"/>
          <w:b/>
          <w:sz w:val="20"/>
          <w:lang w:val="en-GB"/>
        </w:rPr>
      </w:pPr>
      <w:r w:rsidRPr="00BD6DBA">
        <w:rPr>
          <w:rFonts w:cs="Arial"/>
          <w:b/>
          <w:sz w:val="20"/>
          <w:lang w:val="en-GB"/>
        </w:rPr>
        <w:t>8.3 Amendments</w:t>
      </w:r>
    </w:p>
    <w:p w14:paraId="78A6029F" w14:textId="77777777" w:rsidR="003F6591" w:rsidRPr="003F6591" w:rsidRDefault="003F6591" w:rsidP="003F6591">
      <w:pPr>
        <w:pStyle w:val="BodyText"/>
        <w:keepNext/>
        <w:spacing w:line="276" w:lineRule="auto"/>
        <w:jc w:val="both"/>
        <w:rPr>
          <w:rFonts w:cs="Arial"/>
          <w:bCs/>
          <w:sz w:val="20"/>
          <w:lang w:val="en-GB"/>
        </w:rPr>
      </w:pPr>
      <w:r w:rsidRPr="003F6591">
        <w:rPr>
          <w:rFonts w:cs="Arial"/>
          <w:bCs/>
          <w:sz w:val="20"/>
          <w:lang w:val="en-GB"/>
        </w:rPr>
        <w:t>No alterations, additions or modification hereto shall be valid and binding unless the same are reduced to writing and signed by both the Parties.</w:t>
      </w:r>
    </w:p>
    <w:p w14:paraId="13BF7863" w14:textId="77777777" w:rsidR="003F6591" w:rsidRPr="003F6591" w:rsidRDefault="003F6591" w:rsidP="003F6591">
      <w:pPr>
        <w:pStyle w:val="BodyText"/>
        <w:keepNext/>
        <w:spacing w:line="276" w:lineRule="auto"/>
        <w:jc w:val="both"/>
        <w:rPr>
          <w:rFonts w:cs="Arial"/>
          <w:bCs/>
          <w:sz w:val="20"/>
          <w:lang w:val="en-GB"/>
        </w:rPr>
      </w:pPr>
    </w:p>
    <w:p w14:paraId="337A33B9" w14:textId="6CA8FBD8" w:rsidR="003F6591" w:rsidRPr="00BD6DBA" w:rsidRDefault="003F6591" w:rsidP="003F6591">
      <w:pPr>
        <w:pStyle w:val="BodyText"/>
        <w:keepNext/>
        <w:spacing w:line="276" w:lineRule="auto"/>
        <w:jc w:val="both"/>
        <w:rPr>
          <w:rFonts w:cs="Arial"/>
          <w:b/>
          <w:sz w:val="20"/>
          <w:lang w:val="en-GB"/>
        </w:rPr>
      </w:pPr>
      <w:r w:rsidRPr="00BD6DBA">
        <w:rPr>
          <w:rFonts w:cs="Arial"/>
          <w:b/>
          <w:sz w:val="20"/>
          <w:lang w:val="en-GB"/>
        </w:rPr>
        <w:t>8.4 Non-Exclusive Discussions</w:t>
      </w:r>
    </w:p>
    <w:p w14:paraId="721F1E2A" w14:textId="77777777" w:rsidR="003F6591" w:rsidRPr="003F6591" w:rsidRDefault="003F6591" w:rsidP="003F6591">
      <w:pPr>
        <w:pStyle w:val="BodyText"/>
        <w:keepNext/>
        <w:spacing w:line="276" w:lineRule="auto"/>
        <w:jc w:val="both"/>
        <w:rPr>
          <w:rFonts w:cs="Arial"/>
          <w:bCs/>
          <w:sz w:val="20"/>
          <w:lang w:val="en-GB"/>
        </w:rPr>
      </w:pPr>
      <w:r w:rsidRPr="003F6591">
        <w:rPr>
          <w:rFonts w:cs="Arial"/>
          <w:bCs/>
          <w:sz w:val="20"/>
          <w:lang w:val="en-GB"/>
        </w:rPr>
        <w:t xml:space="preserve">The Parties acknowledge and agree that the Areas of Collaboration under this MOU are being undertaken on a non-exclusive basis and either Party shall be free to enter or consummate transactions like the Areas of Collaboration with other parties in India or elsewhere.  </w:t>
      </w:r>
    </w:p>
    <w:p w14:paraId="2ED528EB" w14:textId="77777777" w:rsidR="003F6591" w:rsidRPr="003F6591" w:rsidRDefault="003F6591" w:rsidP="003F6591">
      <w:pPr>
        <w:pStyle w:val="BodyText"/>
        <w:keepNext/>
        <w:spacing w:line="276" w:lineRule="auto"/>
        <w:jc w:val="both"/>
        <w:rPr>
          <w:rFonts w:cs="Arial"/>
          <w:bCs/>
          <w:sz w:val="20"/>
          <w:lang w:val="en-GB"/>
        </w:rPr>
      </w:pPr>
    </w:p>
    <w:p w14:paraId="428F9C5B" w14:textId="0C4FDFB8" w:rsidR="003F6591" w:rsidRPr="00BD6DBA" w:rsidRDefault="003F6591" w:rsidP="003F6591">
      <w:pPr>
        <w:pStyle w:val="BodyText"/>
        <w:keepNext/>
        <w:spacing w:line="276" w:lineRule="auto"/>
        <w:jc w:val="both"/>
        <w:rPr>
          <w:rFonts w:cs="Arial"/>
          <w:b/>
          <w:sz w:val="20"/>
          <w:lang w:val="en-GB"/>
        </w:rPr>
      </w:pPr>
      <w:r w:rsidRPr="00BD6DBA">
        <w:rPr>
          <w:rFonts w:cs="Arial"/>
          <w:b/>
          <w:sz w:val="20"/>
          <w:lang w:val="en-GB"/>
        </w:rPr>
        <w:t>8.5 Confidentiality and Public Announcement:</w:t>
      </w:r>
    </w:p>
    <w:p w14:paraId="1A6E38DC" w14:textId="05FAC6BD" w:rsidR="003F6591" w:rsidRPr="003F6591" w:rsidRDefault="003F6591" w:rsidP="003F6591">
      <w:pPr>
        <w:pStyle w:val="BodyText"/>
        <w:keepNext/>
        <w:spacing w:line="276" w:lineRule="auto"/>
        <w:jc w:val="both"/>
        <w:rPr>
          <w:rFonts w:cs="Arial"/>
          <w:bCs/>
          <w:sz w:val="20"/>
          <w:lang w:val="en-GB"/>
        </w:rPr>
      </w:pPr>
      <w:r w:rsidRPr="003F6591">
        <w:rPr>
          <w:rFonts w:cs="Arial"/>
          <w:bCs/>
          <w:sz w:val="20"/>
          <w:lang w:val="en-GB"/>
        </w:rPr>
        <w:t xml:space="preserve">“Confidential Information” means and implies any or all information, which includes but is not limited to the confidential, proprietary, and trade secret information of the disclosing party to be disclosed by the disclosing party under this MOU, and comprises (a) information in tangible form that: (a) (1) bears a Confidentiality Legend, or (2) does not bear any Confidentiality Legend, if the receiving party knew, or reasonably should have known under the circumstances, that the information was confidential and had been communicated to it in confidence, and (b) discussions about that information that may occur before, at the same time, or after disclosure of the information disclosed directly or indirectly and in any form whatsoever (including, but not limited to, disclosure made in writing, oral or in the form of samples, models, computer programmes, hard copy, soft copy or any human readable form, drawings or other instruments). This MOU and all confidential information exchanged between the Parties pursuant to this MOU shall be held in confidence. </w:t>
      </w:r>
    </w:p>
    <w:p w14:paraId="118815AF" w14:textId="77777777" w:rsidR="003F6591" w:rsidRPr="003F6591" w:rsidRDefault="003F6591" w:rsidP="003F6591">
      <w:pPr>
        <w:pStyle w:val="BodyText"/>
        <w:keepNext/>
        <w:spacing w:line="276" w:lineRule="auto"/>
        <w:jc w:val="both"/>
        <w:rPr>
          <w:rFonts w:cs="Arial"/>
          <w:bCs/>
          <w:sz w:val="20"/>
          <w:lang w:val="en-GB"/>
        </w:rPr>
      </w:pPr>
    </w:p>
    <w:p w14:paraId="2CB4922C" w14:textId="77777777" w:rsidR="003F6591" w:rsidRPr="003F6591" w:rsidRDefault="003F6591" w:rsidP="003F6591">
      <w:pPr>
        <w:pStyle w:val="BodyText"/>
        <w:keepNext/>
        <w:spacing w:line="276" w:lineRule="auto"/>
        <w:jc w:val="both"/>
        <w:rPr>
          <w:rFonts w:cs="Arial"/>
          <w:bCs/>
          <w:sz w:val="20"/>
          <w:lang w:val="en-GB"/>
        </w:rPr>
      </w:pPr>
      <w:r w:rsidRPr="003F6591">
        <w:rPr>
          <w:rFonts w:cs="Arial"/>
          <w:bCs/>
          <w:sz w:val="20"/>
          <w:lang w:val="en-GB"/>
        </w:rPr>
        <w:t xml:space="preserve">Either Party may use the other Party’s logo on its website with a link to the Other Party’s website on execution of this MOU. </w:t>
      </w:r>
    </w:p>
    <w:p w14:paraId="26587349" w14:textId="77777777" w:rsidR="003F6591" w:rsidRPr="003F6591" w:rsidRDefault="003F6591" w:rsidP="003F6591">
      <w:pPr>
        <w:pStyle w:val="BodyText"/>
        <w:keepNext/>
        <w:spacing w:line="276" w:lineRule="auto"/>
        <w:jc w:val="both"/>
        <w:rPr>
          <w:rFonts w:cs="Arial"/>
          <w:bCs/>
          <w:sz w:val="20"/>
          <w:lang w:val="en-GB"/>
        </w:rPr>
      </w:pPr>
    </w:p>
    <w:p w14:paraId="2A4B6E12" w14:textId="77777777" w:rsidR="003F6591" w:rsidRPr="003F6591" w:rsidRDefault="003F6591" w:rsidP="003F6591">
      <w:pPr>
        <w:pStyle w:val="BodyText"/>
        <w:keepNext/>
        <w:spacing w:line="276" w:lineRule="auto"/>
        <w:jc w:val="both"/>
        <w:rPr>
          <w:rFonts w:cs="Arial"/>
          <w:bCs/>
          <w:sz w:val="20"/>
          <w:lang w:val="en-GB"/>
        </w:rPr>
      </w:pPr>
      <w:r w:rsidRPr="003F6591">
        <w:rPr>
          <w:rFonts w:cs="Arial"/>
          <w:bCs/>
          <w:sz w:val="20"/>
          <w:lang w:val="en-GB"/>
        </w:rPr>
        <w:t xml:space="preserve">Neither Party nor any of the affiliates shall make any public announcement about the MOU and /or the scope of proposed engagement, without the prior written consent of the other Party. Any public announcement so made, shall be as per a mutually agreed format. </w:t>
      </w:r>
    </w:p>
    <w:p w14:paraId="2ACA6502" w14:textId="77777777" w:rsidR="003F6591" w:rsidRPr="003F6591" w:rsidRDefault="003F6591" w:rsidP="003F6591">
      <w:pPr>
        <w:pStyle w:val="BodyText"/>
        <w:keepNext/>
        <w:spacing w:line="276" w:lineRule="auto"/>
        <w:jc w:val="both"/>
        <w:rPr>
          <w:rFonts w:cs="Arial"/>
          <w:bCs/>
          <w:sz w:val="20"/>
          <w:lang w:val="en-GB"/>
        </w:rPr>
      </w:pPr>
    </w:p>
    <w:p w14:paraId="3191C79B" w14:textId="31041DDF" w:rsidR="003F6591" w:rsidRPr="00BD6DBA" w:rsidRDefault="00403CB5" w:rsidP="003F6591">
      <w:pPr>
        <w:pStyle w:val="BodyText"/>
        <w:keepNext/>
        <w:spacing w:line="276" w:lineRule="auto"/>
        <w:jc w:val="both"/>
        <w:rPr>
          <w:rFonts w:cs="Arial"/>
          <w:b/>
          <w:sz w:val="20"/>
          <w:lang w:val="en-GB"/>
        </w:rPr>
      </w:pPr>
      <w:r w:rsidRPr="00BD6DBA">
        <w:rPr>
          <w:rFonts w:cs="Arial"/>
          <w:b/>
          <w:sz w:val="20"/>
          <w:lang w:val="en-GB"/>
        </w:rPr>
        <w:t>8</w:t>
      </w:r>
      <w:r w:rsidR="003F6591" w:rsidRPr="00BD6DBA">
        <w:rPr>
          <w:rFonts w:cs="Arial"/>
          <w:b/>
          <w:sz w:val="20"/>
          <w:lang w:val="en-GB"/>
        </w:rPr>
        <w:t>.6 License and Intellectual Property Rights</w:t>
      </w:r>
    </w:p>
    <w:p w14:paraId="5715C002" w14:textId="77777777" w:rsidR="003F6591" w:rsidRPr="003F6591" w:rsidRDefault="003F6591" w:rsidP="003F6591">
      <w:pPr>
        <w:pStyle w:val="BodyText"/>
        <w:keepNext/>
        <w:spacing w:line="276" w:lineRule="auto"/>
        <w:jc w:val="both"/>
        <w:rPr>
          <w:rFonts w:cs="Arial"/>
          <w:bCs/>
          <w:sz w:val="20"/>
          <w:lang w:val="en-GB"/>
        </w:rPr>
      </w:pPr>
      <w:r w:rsidRPr="003F6591">
        <w:rPr>
          <w:rFonts w:cs="Arial"/>
          <w:bCs/>
          <w:sz w:val="20"/>
          <w:lang w:val="en-GB"/>
        </w:rPr>
        <w:t xml:space="preserve">No license or sub-license is granted under this MOU to either Party under any of the other Party’s intellectual property rights, either expressly, by implication, inducement, estoppel or otherwise. Both Parties understand and acknowledge that grant of any such license shall always be express and in writing. TNSDC will not be responsible for any breach of Intellectual Property of Party 1. Similarly, Party 1 will not be </w:t>
      </w:r>
      <w:r w:rsidRPr="003F6591">
        <w:rPr>
          <w:rFonts w:cs="Arial"/>
          <w:bCs/>
          <w:sz w:val="20"/>
          <w:lang w:val="en-GB"/>
        </w:rPr>
        <w:lastRenderedPageBreak/>
        <w:t>responsible for any breach of Intellectual Property of TNSDC.</w:t>
      </w:r>
    </w:p>
    <w:p w14:paraId="7873FE3D" w14:textId="77777777" w:rsidR="003F6591" w:rsidRPr="003F6591" w:rsidRDefault="003F6591" w:rsidP="003F6591">
      <w:pPr>
        <w:pStyle w:val="BodyText"/>
        <w:keepNext/>
        <w:spacing w:line="276" w:lineRule="auto"/>
        <w:jc w:val="both"/>
        <w:rPr>
          <w:rFonts w:cs="Arial"/>
          <w:bCs/>
          <w:sz w:val="20"/>
          <w:lang w:val="en-GB"/>
        </w:rPr>
      </w:pPr>
    </w:p>
    <w:p w14:paraId="14ED717C" w14:textId="7D3A6A83" w:rsidR="003F6591" w:rsidRPr="00BD6DBA" w:rsidRDefault="00403CB5" w:rsidP="003F6591">
      <w:pPr>
        <w:pStyle w:val="BodyText"/>
        <w:keepNext/>
        <w:spacing w:line="276" w:lineRule="auto"/>
        <w:jc w:val="both"/>
        <w:rPr>
          <w:rFonts w:cs="Arial"/>
          <w:b/>
          <w:sz w:val="20"/>
          <w:lang w:val="en-GB"/>
        </w:rPr>
      </w:pPr>
      <w:r w:rsidRPr="00BD6DBA">
        <w:rPr>
          <w:rFonts w:cs="Arial"/>
          <w:b/>
          <w:sz w:val="20"/>
          <w:lang w:val="en-GB"/>
        </w:rPr>
        <w:t>8</w:t>
      </w:r>
      <w:r w:rsidR="003F6591" w:rsidRPr="00BD6DBA">
        <w:rPr>
          <w:rFonts w:cs="Arial"/>
          <w:b/>
          <w:sz w:val="20"/>
          <w:lang w:val="en-GB"/>
        </w:rPr>
        <w:t>.7 Conflict of Interest</w:t>
      </w:r>
    </w:p>
    <w:p w14:paraId="74275751" w14:textId="77777777" w:rsidR="003F6591" w:rsidRPr="003F6591" w:rsidRDefault="003F6591" w:rsidP="003F6591">
      <w:pPr>
        <w:pStyle w:val="BodyText"/>
        <w:keepNext/>
        <w:spacing w:line="276" w:lineRule="auto"/>
        <w:jc w:val="both"/>
        <w:rPr>
          <w:rFonts w:cs="Arial"/>
          <w:bCs/>
          <w:sz w:val="20"/>
          <w:lang w:val="en-GB"/>
        </w:rPr>
      </w:pPr>
      <w:r w:rsidRPr="003F6591">
        <w:rPr>
          <w:rFonts w:cs="Arial"/>
          <w:bCs/>
          <w:sz w:val="20"/>
          <w:lang w:val="en-GB"/>
        </w:rPr>
        <w:t xml:space="preserve">Neither of the parties believe that the Collaboration contemplated by this MOU raise any actual or potential conflicts of interest. The parties agree that this MOU and the negotiation of the same (and any other agreements entered in connection herewith) are independent of any past, present, or potential future arrangements, and are not connected to an existing business relationship between either of the parties. </w:t>
      </w:r>
    </w:p>
    <w:p w14:paraId="244DC440" w14:textId="77777777" w:rsidR="003F6591" w:rsidRPr="003F6591" w:rsidRDefault="003F6591" w:rsidP="003F6591">
      <w:pPr>
        <w:pStyle w:val="BodyText"/>
        <w:keepNext/>
        <w:spacing w:line="276" w:lineRule="auto"/>
        <w:jc w:val="both"/>
        <w:rPr>
          <w:rFonts w:cs="Arial"/>
          <w:bCs/>
          <w:sz w:val="20"/>
          <w:lang w:val="en-GB"/>
        </w:rPr>
      </w:pPr>
    </w:p>
    <w:p w14:paraId="24594ED1" w14:textId="6366A111" w:rsidR="00B07C57" w:rsidRPr="003F6591" w:rsidRDefault="00B07C57" w:rsidP="00B07C57">
      <w:pPr>
        <w:pStyle w:val="BodyText"/>
        <w:keepNext/>
        <w:widowControl/>
        <w:numPr>
          <w:ilvl w:val="0"/>
          <w:numId w:val="1"/>
        </w:numPr>
        <w:spacing w:line="276" w:lineRule="auto"/>
        <w:ind w:left="432" w:hanging="432"/>
        <w:jc w:val="both"/>
        <w:rPr>
          <w:rFonts w:cs="Arial"/>
          <w:b/>
          <w:sz w:val="20"/>
          <w:lang w:val="en-GB"/>
        </w:rPr>
      </w:pPr>
      <w:r w:rsidRPr="00B07C57">
        <w:rPr>
          <w:rFonts w:cs="Arial"/>
          <w:b/>
          <w:sz w:val="20"/>
          <w:lang w:val="en-GB"/>
        </w:rPr>
        <w:t>DISPUTE SETTLEMENT</w:t>
      </w:r>
    </w:p>
    <w:p w14:paraId="6A61DBD3" w14:textId="77777777" w:rsidR="003F6591" w:rsidRPr="003F6591" w:rsidRDefault="003F6591" w:rsidP="003F6591">
      <w:pPr>
        <w:pStyle w:val="BodyText"/>
        <w:keepNext/>
        <w:spacing w:line="276" w:lineRule="auto"/>
        <w:jc w:val="both"/>
        <w:rPr>
          <w:rFonts w:cs="Arial"/>
          <w:bCs/>
          <w:sz w:val="20"/>
          <w:lang w:val="en-GB"/>
        </w:rPr>
      </w:pPr>
    </w:p>
    <w:p w14:paraId="473B0FBC" w14:textId="77777777" w:rsidR="003F6591" w:rsidRPr="003F6591" w:rsidRDefault="003F6591" w:rsidP="003F6591">
      <w:pPr>
        <w:pStyle w:val="BodyText"/>
        <w:keepNext/>
        <w:spacing w:line="276" w:lineRule="auto"/>
        <w:jc w:val="both"/>
        <w:rPr>
          <w:rFonts w:cs="Arial"/>
          <w:bCs/>
          <w:sz w:val="20"/>
          <w:lang w:val="en-GB"/>
        </w:rPr>
      </w:pPr>
      <w:r w:rsidRPr="003F6591">
        <w:rPr>
          <w:rFonts w:cs="Arial"/>
          <w:bCs/>
          <w:sz w:val="20"/>
          <w:lang w:val="en-GB"/>
        </w:rPr>
        <w:t>This MOU shall be governed by and construed in accordance with the laws of Republic of India. All disputes arising out of or related to this MOU, including without limitation all matters connected with its performance, will be governed by, and construed and interpreted under the laws of India, without reference to conflict of laws principles.</w:t>
      </w:r>
    </w:p>
    <w:p w14:paraId="3FD77038" w14:textId="77777777" w:rsidR="003F6591" w:rsidRPr="003F6591" w:rsidRDefault="003F6591" w:rsidP="003F6591">
      <w:pPr>
        <w:pStyle w:val="BodyText"/>
        <w:keepNext/>
        <w:spacing w:line="276" w:lineRule="auto"/>
        <w:jc w:val="both"/>
        <w:rPr>
          <w:rFonts w:cs="Arial"/>
          <w:bCs/>
          <w:sz w:val="20"/>
          <w:lang w:val="en-GB"/>
        </w:rPr>
      </w:pPr>
    </w:p>
    <w:p w14:paraId="46F8F4C7" w14:textId="77777777" w:rsidR="003F6591" w:rsidRPr="003F6591" w:rsidRDefault="003F6591" w:rsidP="003F6591">
      <w:pPr>
        <w:pStyle w:val="BodyText"/>
        <w:keepNext/>
        <w:spacing w:line="276" w:lineRule="auto"/>
        <w:jc w:val="both"/>
        <w:rPr>
          <w:rFonts w:cs="Arial"/>
          <w:bCs/>
          <w:sz w:val="20"/>
          <w:lang w:val="en-GB"/>
        </w:rPr>
      </w:pPr>
      <w:r w:rsidRPr="003F6591">
        <w:rPr>
          <w:rFonts w:cs="Arial"/>
          <w:bCs/>
          <w:sz w:val="20"/>
          <w:lang w:val="en-GB"/>
        </w:rPr>
        <w:t xml:space="preserve">All disputes and differences arising out of or in connection with this MOU shall be the first instance referred to arbitration by three (3) arbitrators, jointly appointed by Parties. The decision and award determined by such arbitration will be final and binding upon the Parties. The arbitration will be conducted in accordance with the Arbitration and Conciliation Act, 1996, as may be in force from time to time. The arbitration proceedings will be conducted in English and the seat of arbitration will be New Delhi. </w:t>
      </w:r>
    </w:p>
    <w:p w14:paraId="57D3475D" w14:textId="77777777" w:rsidR="003F6591" w:rsidRPr="003F6591" w:rsidRDefault="003F6591" w:rsidP="003F6591">
      <w:pPr>
        <w:pStyle w:val="BodyText"/>
        <w:keepNext/>
        <w:spacing w:line="276" w:lineRule="auto"/>
        <w:jc w:val="both"/>
        <w:rPr>
          <w:rFonts w:cs="Arial"/>
          <w:bCs/>
          <w:sz w:val="20"/>
          <w:lang w:val="en-GB"/>
        </w:rPr>
      </w:pPr>
    </w:p>
    <w:p w14:paraId="5F65A927" w14:textId="77777777" w:rsidR="003F6591" w:rsidRPr="00BC0DB9" w:rsidRDefault="003F6591" w:rsidP="003F6591">
      <w:pPr>
        <w:pStyle w:val="BodyText"/>
        <w:keepNext/>
        <w:spacing w:line="276" w:lineRule="auto"/>
        <w:jc w:val="both"/>
        <w:rPr>
          <w:rFonts w:cs="Arial"/>
          <w:b/>
          <w:sz w:val="20"/>
          <w:lang w:val="en-GB"/>
        </w:rPr>
      </w:pPr>
      <w:r w:rsidRPr="00BC0DB9">
        <w:rPr>
          <w:rFonts w:cs="Arial"/>
          <w:b/>
          <w:sz w:val="20"/>
          <w:lang w:val="en-GB"/>
        </w:rPr>
        <w:t>Notices</w:t>
      </w:r>
    </w:p>
    <w:p w14:paraId="54AD2A32" w14:textId="1B22D650" w:rsidR="0065588A" w:rsidRPr="003F6591" w:rsidRDefault="003F6591" w:rsidP="003F6591">
      <w:pPr>
        <w:pStyle w:val="BodyText"/>
        <w:keepNext/>
        <w:widowControl/>
        <w:spacing w:line="276" w:lineRule="auto"/>
        <w:jc w:val="both"/>
        <w:rPr>
          <w:rFonts w:cs="Arial"/>
          <w:bCs/>
          <w:sz w:val="20"/>
          <w:lang w:val="en-GB"/>
        </w:rPr>
      </w:pPr>
      <w:r w:rsidRPr="003F6591">
        <w:rPr>
          <w:rFonts w:cs="Arial"/>
          <w:bCs/>
          <w:sz w:val="20"/>
          <w:lang w:val="en-GB"/>
        </w:rPr>
        <w:t>All communications hereunder shall be in writing and shall be deemed given if delivered personally or mailed by registered or certified mail or over official email, to the Parties at the address specified below:</w:t>
      </w:r>
    </w:p>
    <w:p w14:paraId="1EFF1BCC" w14:textId="1944942C" w:rsidR="00F566F8" w:rsidRDefault="00F566F8" w:rsidP="00FC3619">
      <w:pPr>
        <w:spacing w:line="276" w:lineRule="auto"/>
        <w:rPr>
          <w:rFonts w:cs="Arial"/>
          <w:szCs w:val="20"/>
        </w:rPr>
      </w:pPr>
    </w:p>
    <w:p w14:paraId="45F966E8" w14:textId="77F93962" w:rsidR="007C650F" w:rsidRDefault="007C650F" w:rsidP="007C650F">
      <w:pPr>
        <w:jc w:val="both"/>
        <w:rPr>
          <w:rFonts w:asciiTheme="minorHAnsi" w:hAnsiTheme="minorHAnsi" w:cstheme="minorHAnsi"/>
          <w:color w:val="000000" w:themeColor="text1"/>
          <w:sz w:val="21"/>
          <w:szCs w:val="21"/>
          <w:lang w:val="en-US" w:eastAsia="ja-JP"/>
        </w:rPr>
      </w:pPr>
      <w:r>
        <w:rPr>
          <w:rFonts w:asciiTheme="minorHAnsi" w:hAnsiTheme="minorHAnsi" w:cstheme="minorHAnsi"/>
          <w:color w:val="000000" w:themeColor="text1"/>
          <w:sz w:val="21"/>
          <w:szCs w:val="21"/>
        </w:rPr>
        <w:t xml:space="preserve">If to </w:t>
      </w:r>
      <w:r w:rsidRPr="008C2843">
        <w:rPr>
          <w:rFonts w:cs="Arial"/>
          <w:b/>
          <w:szCs w:val="20"/>
          <w:highlight w:val="yellow"/>
        </w:rPr>
        <w:t>Party 1</w:t>
      </w:r>
      <w:r>
        <w:rPr>
          <w:rFonts w:asciiTheme="minorHAnsi" w:hAnsiTheme="minorHAnsi" w:cstheme="minorHAnsi"/>
          <w:color w:val="000000" w:themeColor="text1"/>
          <w:sz w:val="21"/>
          <w:szCs w:val="21"/>
        </w:rPr>
        <w:t>:</w:t>
      </w:r>
    </w:p>
    <w:p w14:paraId="0BED998B" w14:textId="2F1B5DFD" w:rsidR="007C650F" w:rsidRDefault="007C650F" w:rsidP="007C650F">
      <w:pPr>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Attention of: </w:t>
      </w:r>
    </w:p>
    <w:p w14:paraId="35281302" w14:textId="47F17047" w:rsidR="007C650F" w:rsidRDefault="007C650F" w:rsidP="007C650F">
      <w:pPr>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Address: </w:t>
      </w:r>
    </w:p>
    <w:p w14:paraId="5D6DFF54" w14:textId="146D2492" w:rsidR="007C650F" w:rsidRDefault="007C650F" w:rsidP="007C650F">
      <w:pPr>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Email: </w:t>
      </w:r>
    </w:p>
    <w:p w14:paraId="5FE91DEB" w14:textId="77777777" w:rsidR="007C650F" w:rsidRDefault="007C650F" w:rsidP="007C650F">
      <w:pPr>
        <w:jc w:val="both"/>
        <w:rPr>
          <w:rFonts w:asciiTheme="minorHAnsi" w:hAnsiTheme="minorHAnsi" w:cstheme="minorHAnsi"/>
          <w:color w:val="000000" w:themeColor="text1"/>
          <w:sz w:val="21"/>
          <w:szCs w:val="21"/>
        </w:rPr>
      </w:pPr>
    </w:p>
    <w:p w14:paraId="6F827619" w14:textId="7AF98574" w:rsidR="009C34B5" w:rsidRDefault="007C650F" w:rsidP="007C650F">
      <w:pPr>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If to the </w:t>
      </w:r>
      <w:r w:rsidRPr="00594C2F">
        <w:rPr>
          <w:rFonts w:asciiTheme="minorHAnsi" w:hAnsiTheme="minorHAnsi" w:cstheme="minorHAnsi"/>
          <w:b/>
          <w:bCs/>
          <w:color w:val="000000" w:themeColor="text1"/>
          <w:sz w:val="21"/>
          <w:szCs w:val="21"/>
        </w:rPr>
        <w:t>TNSDC</w:t>
      </w:r>
      <w:r>
        <w:rPr>
          <w:rFonts w:asciiTheme="minorHAnsi" w:hAnsiTheme="minorHAnsi" w:cstheme="minorHAnsi"/>
          <w:color w:val="000000" w:themeColor="text1"/>
          <w:sz w:val="21"/>
          <w:szCs w:val="21"/>
        </w:rPr>
        <w:t>:</w:t>
      </w:r>
    </w:p>
    <w:p w14:paraId="55E2E0F7" w14:textId="77F246E7" w:rsidR="007C650F" w:rsidRPr="009C34B5" w:rsidRDefault="007C650F" w:rsidP="007C650F">
      <w:pPr>
        <w:jc w:val="both"/>
        <w:rPr>
          <w:rFonts w:asciiTheme="minorHAnsi" w:hAnsiTheme="minorHAnsi" w:cstheme="minorHAnsi"/>
          <w:b/>
          <w:bCs/>
          <w:color w:val="000000" w:themeColor="text1"/>
          <w:sz w:val="21"/>
          <w:szCs w:val="21"/>
        </w:rPr>
      </w:pPr>
      <w:r>
        <w:rPr>
          <w:rFonts w:asciiTheme="minorHAnsi" w:hAnsiTheme="minorHAnsi" w:cstheme="minorHAnsi"/>
          <w:color w:val="000000" w:themeColor="text1"/>
          <w:sz w:val="21"/>
          <w:szCs w:val="21"/>
        </w:rPr>
        <w:t xml:space="preserve">Attention of: </w:t>
      </w:r>
      <w:r>
        <w:rPr>
          <w:rFonts w:asciiTheme="minorHAnsi" w:hAnsiTheme="minorHAnsi" w:cstheme="minorHAnsi"/>
          <w:b/>
          <w:bCs/>
          <w:color w:val="000000" w:themeColor="text1"/>
          <w:sz w:val="21"/>
          <w:szCs w:val="21"/>
        </w:rPr>
        <w:t>Tmt. J. Innocent Divya,</w:t>
      </w:r>
      <w:r w:rsidR="009C34B5">
        <w:rPr>
          <w:rFonts w:asciiTheme="minorHAnsi" w:hAnsiTheme="minorHAnsi" w:cstheme="minorHAnsi"/>
          <w:b/>
          <w:bCs/>
          <w:color w:val="000000" w:themeColor="text1"/>
          <w:sz w:val="21"/>
          <w:szCs w:val="21"/>
        </w:rPr>
        <w:t xml:space="preserve"> </w:t>
      </w:r>
      <w:r>
        <w:rPr>
          <w:rFonts w:asciiTheme="minorHAnsi" w:hAnsiTheme="minorHAnsi" w:cstheme="minorHAnsi"/>
          <w:b/>
          <w:bCs/>
          <w:color w:val="000000" w:themeColor="text1"/>
          <w:sz w:val="21"/>
          <w:szCs w:val="21"/>
        </w:rPr>
        <w:t>MD, TNSDC</w:t>
      </w:r>
    </w:p>
    <w:p w14:paraId="7BDD5804" w14:textId="77777777" w:rsidR="007C650F" w:rsidRDefault="007C650F" w:rsidP="007C650F">
      <w:pPr>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Address: 1st Floor, Employment Office, Alandur Rd, </w:t>
      </w:r>
    </w:p>
    <w:p w14:paraId="75868E0E" w14:textId="77777777" w:rsidR="007C650F" w:rsidRDefault="007C650F" w:rsidP="007C650F">
      <w:pPr>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Thiru Vi Ka Industrial Estate, Guindy, Chennai – 600 032</w:t>
      </w:r>
    </w:p>
    <w:p w14:paraId="76F52051" w14:textId="286484E3" w:rsidR="007C650F" w:rsidRDefault="007C650F" w:rsidP="007C650F">
      <w:pPr>
        <w:spacing w:line="276" w:lineRule="auto"/>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Email: </w:t>
      </w:r>
      <w:hyperlink r:id="rId5" w:history="1">
        <w:r w:rsidR="00280957" w:rsidRPr="007A495C">
          <w:rPr>
            <w:rStyle w:val="Hyperlink"/>
            <w:rFonts w:asciiTheme="minorHAnsi" w:hAnsiTheme="minorHAnsi" w:cstheme="minorHAnsi"/>
            <w:sz w:val="21"/>
            <w:szCs w:val="21"/>
          </w:rPr>
          <w:t>md@tnsdc.in</w:t>
        </w:r>
      </w:hyperlink>
    </w:p>
    <w:p w14:paraId="334AC258" w14:textId="560E878E" w:rsidR="006E6411" w:rsidRDefault="006E6411" w:rsidP="007C650F">
      <w:pPr>
        <w:spacing w:line="276" w:lineRule="auto"/>
        <w:rPr>
          <w:rFonts w:asciiTheme="minorHAnsi" w:hAnsiTheme="minorHAnsi" w:cstheme="minorHAnsi"/>
          <w:color w:val="000000" w:themeColor="text1"/>
          <w:sz w:val="21"/>
          <w:szCs w:val="21"/>
        </w:rPr>
      </w:pPr>
    </w:p>
    <w:p w14:paraId="6D689503" w14:textId="77777777" w:rsidR="006E6411" w:rsidRDefault="006E6411" w:rsidP="006E6411">
      <w:pPr>
        <w:jc w:val="both"/>
        <w:rPr>
          <w:rFonts w:asciiTheme="minorHAnsi" w:hAnsiTheme="minorHAnsi" w:cstheme="minorHAnsi"/>
          <w:b/>
          <w:color w:val="000000" w:themeColor="text1"/>
          <w:sz w:val="21"/>
          <w:szCs w:val="21"/>
          <w:lang w:val="en-US" w:eastAsia="ja-JP"/>
        </w:rPr>
      </w:pPr>
      <w:r>
        <w:rPr>
          <w:rFonts w:asciiTheme="minorHAnsi" w:hAnsiTheme="minorHAnsi" w:cstheme="minorHAnsi"/>
          <w:b/>
          <w:color w:val="000000" w:themeColor="text1"/>
          <w:sz w:val="21"/>
          <w:szCs w:val="21"/>
        </w:rPr>
        <w:t xml:space="preserve">For and on behalf of </w:t>
      </w:r>
    </w:p>
    <w:p w14:paraId="60297B31" w14:textId="77777777" w:rsidR="006E6411" w:rsidRDefault="006E6411" w:rsidP="006E6411">
      <w:pPr>
        <w:jc w:val="both"/>
        <w:rPr>
          <w:rFonts w:asciiTheme="minorHAnsi" w:hAnsiTheme="minorHAnsi" w:cstheme="minorHAnsi"/>
          <w:b/>
          <w:color w:val="000000" w:themeColor="text1"/>
          <w:sz w:val="21"/>
          <w:szCs w:val="21"/>
        </w:rPr>
      </w:pPr>
    </w:p>
    <w:tbl>
      <w:tblPr>
        <w:tblStyle w:val="TableGrid"/>
        <w:tblW w:w="9085" w:type="dxa"/>
        <w:tblInd w:w="0" w:type="dxa"/>
        <w:tblLook w:val="04A0" w:firstRow="1" w:lastRow="0" w:firstColumn="1" w:lastColumn="0" w:noHBand="0" w:noVBand="1"/>
      </w:tblPr>
      <w:tblGrid>
        <w:gridCol w:w="4405"/>
        <w:gridCol w:w="4680"/>
      </w:tblGrid>
      <w:tr w:rsidR="006E6411" w14:paraId="1FCBC524" w14:textId="77777777" w:rsidTr="006E6411">
        <w:tc>
          <w:tcPr>
            <w:tcW w:w="4405" w:type="dxa"/>
            <w:tcBorders>
              <w:top w:val="single" w:sz="4" w:space="0" w:color="auto"/>
              <w:left w:val="single" w:sz="4" w:space="0" w:color="auto"/>
              <w:bottom w:val="single" w:sz="4" w:space="0" w:color="auto"/>
              <w:right w:val="single" w:sz="4" w:space="0" w:color="auto"/>
            </w:tcBorders>
            <w:hideMark/>
          </w:tcPr>
          <w:p w14:paraId="3267DE3E" w14:textId="77777777" w:rsidR="006E6411" w:rsidRDefault="006E6411">
            <w:pPr>
              <w:jc w:val="both"/>
              <w:rPr>
                <w:rFonts w:asciiTheme="minorHAnsi" w:hAnsiTheme="minorHAnsi" w:cstheme="minorHAnsi"/>
                <w:b/>
                <w:color w:val="000000" w:themeColor="text1"/>
                <w:sz w:val="21"/>
                <w:szCs w:val="21"/>
              </w:rPr>
            </w:pPr>
            <w:r>
              <w:rPr>
                <w:rFonts w:asciiTheme="minorHAnsi" w:eastAsia="Calibri" w:hAnsiTheme="minorHAnsi" w:cstheme="minorHAnsi"/>
                <w:b/>
                <w:color w:val="000000" w:themeColor="text1"/>
                <w:sz w:val="21"/>
                <w:szCs w:val="21"/>
              </w:rPr>
              <w:t>Tamil Nadu Skill Development Corporation</w:t>
            </w:r>
          </w:p>
        </w:tc>
        <w:tc>
          <w:tcPr>
            <w:tcW w:w="4680" w:type="dxa"/>
            <w:tcBorders>
              <w:top w:val="single" w:sz="4" w:space="0" w:color="auto"/>
              <w:left w:val="single" w:sz="4" w:space="0" w:color="auto"/>
              <w:bottom w:val="single" w:sz="4" w:space="0" w:color="auto"/>
              <w:right w:val="single" w:sz="4" w:space="0" w:color="auto"/>
            </w:tcBorders>
            <w:hideMark/>
          </w:tcPr>
          <w:p w14:paraId="55C5C963" w14:textId="17A885FA" w:rsidR="006E6411" w:rsidRDefault="00296518">
            <w:pPr>
              <w:jc w:val="both"/>
              <w:rPr>
                <w:rFonts w:asciiTheme="minorHAnsi" w:hAnsiTheme="minorHAnsi" w:cstheme="minorHAnsi"/>
                <w:b/>
                <w:color w:val="000000" w:themeColor="text1"/>
                <w:sz w:val="21"/>
                <w:szCs w:val="21"/>
              </w:rPr>
            </w:pPr>
            <w:r w:rsidRPr="008C2843">
              <w:rPr>
                <w:rFonts w:cs="Arial"/>
                <w:b/>
                <w:szCs w:val="20"/>
                <w:highlight w:val="yellow"/>
              </w:rPr>
              <w:t>Party 1</w:t>
            </w:r>
          </w:p>
        </w:tc>
      </w:tr>
      <w:tr w:rsidR="006E6411" w14:paraId="01193353" w14:textId="77777777" w:rsidTr="006E6411">
        <w:trPr>
          <w:trHeight w:val="1313"/>
        </w:trPr>
        <w:tc>
          <w:tcPr>
            <w:tcW w:w="4405" w:type="dxa"/>
            <w:tcBorders>
              <w:top w:val="single" w:sz="4" w:space="0" w:color="auto"/>
              <w:left w:val="single" w:sz="4" w:space="0" w:color="auto"/>
              <w:bottom w:val="single" w:sz="4" w:space="0" w:color="auto"/>
              <w:right w:val="single" w:sz="4" w:space="0" w:color="auto"/>
            </w:tcBorders>
          </w:tcPr>
          <w:p w14:paraId="6756B850" w14:textId="77777777" w:rsidR="006E6411" w:rsidRDefault="006E6411">
            <w:pPr>
              <w:jc w:val="both"/>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By:</w:t>
            </w:r>
          </w:p>
          <w:p w14:paraId="04E9C4C9" w14:textId="77777777" w:rsidR="006E6411" w:rsidRDefault="006E6411">
            <w:pPr>
              <w:jc w:val="both"/>
              <w:rPr>
                <w:rFonts w:asciiTheme="minorHAnsi" w:hAnsiTheme="minorHAnsi" w:cstheme="minorHAnsi"/>
                <w:b/>
                <w:color w:val="000000" w:themeColor="text1"/>
                <w:sz w:val="21"/>
                <w:szCs w:val="21"/>
              </w:rPr>
            </w:pPr>
          </w:p>
        </w:tc>
        <w:tc>
          <w:tcPr>
            <w:tcW w:w="4680" w:type="dxa"/>
            <w:tcBorders>
              <w:top w:val="single" w:sz="4" w:space="0" w:color="auto"/>
              <w:left w:val="single" w:sz="4" w:space="0" w:color="auto"/>
              <w:bottom w:val="single" w:sz="4" w:space="0" w:color="auto"/>
              <w:right w:val="single" w:sz="4" w:space="0" w:color="auto"/>
            </w:tcBorders>
            <w:hideMark/>
          </w:tcPr>
          <w:p w14:paraId="172EFFD4" w14:textId="77777777" w:rsidR="006E6411" w:rsidRDefault="006E6411">
            <w:pPr>
              <w:jc w:val="both"/>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By:</w:t>
            </w:r>
          </w:p>
        </w:tc>
      </w:tr>
      <w:tr w:rsidR="006E6411" w14:paraId="22CAE102" w14:textId="77777777" w:rsidTr="006E6411">
        <w:tc>
          <w:tcPr>
            <w:tcW w:w="4405" w:type="dxa"/>
            <w:tcBorders>
              <w:top w:val="single" w:sz="4" w:space="0" w:color="auto"/>
              <w:left w:val="single" w:sz="4" w:space="0" w:color="auto"/>
              <w:bottom w:val="single" w:sz="4" w:space="0" w:color="auto"/>
              <w:right w:val="single" w:sz="4" w:space="0" w:color="auto"/>
            </w:tcBorders>
            <w:hideMark/>
          </w:tcPr>
          <w:p w14:paraId="3ED29952" w14:textId="77777777" w:rsidR="006E6411" w:rsidRDefault="006E6411">
            <w:pPr>
              <w:jc w:val="both"/>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 xml:space="preserve">Name: </w:t>
            </w:r>
            <w:r>
              <w:rPr>
                <w:rFonts w:asciiTheme="minorHAnsi" w:hAnsiTheme="minorHAnsi" w:cstheme="minorHAnsi"/>
                <w:b/>
                <w:bCs/>
                <w:color w:val="000000" w:themeColor="text1"/>
                <w:sz w:val="21"/>
                <w:szCs w:val="21"/>
              </w:rPr>
              <w:t>Tmt. J. Innocent Divya</w:t>
            </w:r>
          </w:p>
        </w:tc>
        <w:tc>
          <w:tcPr>
            <w:tcW w:w="4680" w:type="dxa"/>
            <w:tcBorders>
              <w:top w:val="single" w:sz="4" w:space="0" w:color="auto"/>
              <w:left w:val="single" w:sz="4" w:space="0" w:color="auto"/>
              <w:bottom w:val="single" w:sz="4" w:space="0" w:color="auto"/>
              <w:right w:val="single" w:sz="4" w:space="0" w:color="auto"/>
            </w:tcBorders>
            <w:hideMark/>
          </w:tcPr>
          <w:p w14:paraId="3050B209" w14:textId="77777777" w:rsidR="006E6411" w:rsidRDefault="006E6411">
            <w:pPr>
              <w:jc w:val="both"/>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Name: Nagesh Singh</w:t>
            </w:r>
          </w:p>
        </w:tc>
      </w:tr>
      <w:tr w:rsidR="006E6411" w14:paraId="3A75B7B1" w14:textId="77777777" w:rsidTr="006E6411">
        <w:tc>
          <w:tcPr>
            <w:tcW w:w="4405" w:type="dxa"/>
            <w:tcBorders>
              <w:top w:val="single" w:sz="4" w:space="0" w:color="auto"/>
              <w:left w:val="single" w:sz="4" w:space="0" w:color="auto"/>
              <w:bottom w:val="single" w:sz="4" w:space="0" w:color="auto"/>
              <w:right w:val="single" w:sz="4" w:space="0" w:color="auto"/>
            </w:tcBorders>
            <w:hideMark/>
          </w:tcPr>
          <w:p w14:paraId="5C26C61E" w14:textId="77777777" w:rsidR="006E6411" w:rsidRDefault="006E6411">
            <w:pPr>
              <w:jc w:val="both"/>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Title: Managing Director</w:t>
            </w:r>
          </w:p>
        </w:tc>
        <w:tc>
          <w:tcPr>
            <w:tcW w:w="4680" w:type="dxa"/>
            <w:tcBorders>
              <w:top w:val="single" w:sz="4" w:space="0" w:color="auto"/>
              <w:left w:val="single" w:sz="4" w:space="0" w:color="auto"/>
              <w:bottom w:val="single" w:sz="4" w:space="0" w:color="auto"/>
              <w:right w:val="single" w:sz="4" w:space="0" w:color="auto"/>
            </w:tcBorders>
            <w:hideMark/>
          </w:tcPr>
          <w:p w14:paraId="568B562C" w14:textId="77777777" w:rsidR="006E6411" w:rsidRDefault="006E6411">
            <w:pPr>
              <w:jc w:val="both"/>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Title: Executive Director</w:t>
            </w:r>
          </w:p>
        </w:tc>
      </w:tr>
    </w:tbl>
    <w:p w14:paraId="06732769" w14:textId="77777777" w:rsidR="006E6411" w:rsidRDefault="006E6411" w:rsidP="007C650F">
      <w:pPr>
        <w:spacing w:line="276" w:lineRule="auto"/>
        <w:rPr>
          <w:rFonts w:asciiTheme="minorHAnsi" w:hAnsiTheme="minorHAnsi" w:cstheme="minorHAnsi"/>
          <w:color w:val="000000" w:themeColor="text1"/>
          <w:sz w:val="21"/>
          <w:szCs w:val="21"/>
        </w:rPr>
      </w:pPr>
    </w:p>
    <w:sectPr w:rsidR="006E64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auto"/>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A42"/>
    <w:multiLevelType w:val="hybridMultilevel"/>
    <w:tmpl w:val="E758B00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E8E01BB"/>
    <w:multiLevelType w:val="multilevel"/>
    <w:tmpl w:val="1C2C0550"/>
    <w:lvl w:ilvl="0">
      <w:start w:val="1"/>
      <w:numFmt w:val="decimal"/>
      <w:lvlText w:val="%1"/>
      <w:lvlJc w:val="left"/>
      <w:pPr>
        <w:ind w:left="360" w:hanging="360"/>
      </w:pPr>
      <w:rPr>
        <w:rFonts w:eastAsia="Times New Roman"/>
        <w:strike w:val="0"/>
        <w:dstrike w:val="0"/>
        <w:u w:val="none"/>
        <w:effect w:val="none"/>
      </w:rPr>
    </w:lvl>
    <w:lvl w:ilvl="1">
      <w:start w:val="1"/>
      <w:numFmt w:val="decimal"/>
      <w:lvlText w:val="%1.%2"/>
      <w:lvlJc w:val="left"/>
      <w:pPr>
        <w:ind w:left="360" w:hanging="360"/>
      </w:pPr>
      <w:rPr>
        <w:rFonts w:eastAsia="Times New Roman"/>
        <w:strike w:val="0"/>
        <w:dstrike w:val="0"/>
        <w:u w:val="none"/>
        <w:effect w:val="none"/>
      </w:rPr>
    </w:lvl>
    <w:lvl w:ilvl="2">
      <w:start w:val="1"/>
      <w:numFmt w:val="decimal"/>
      <w:lvlText w:val="%1.%2.%3"/>
      <w:lvlJc w:val="left"/>
      <w:pPr>
        <w:ind w:left="720" w:hanging="720"/>
      </w:pPr>
      <w:rPr>
        <w:rFonts w:eastAsia="Times New Roman"/>
        <w:strike w:val="0"/>
        <w:dstrike w:val="0"/>
        <w:u w:val="none"/>
        <w:effect w:val="none"/>
      </w:rPr>
    </w:lvl>
    <w:lvl w:ilvl="3">
      <w:start w:val="1"/>
      <w:numFmt w:val="decimal"/>
      <w:lvlText w:val="%1.%2.%3.%4"/>
      <w:lvlJc w:val="left"/>
      <w:pPr>
        <w:ind w:left="720" w:hanging="720"/>
      </w:pPr>
      <w:rPr>
        <w:rFonts w:eastAsia="Times New Roman"/>
        <w:strike w:val="0"/>
        <w:dstrike w:val="0"/>
        <w:u w:val="none"/>
        <w:effect w:val="none"/>
      </w:rPr>
    </w:lvl>
    <w:lvl w:ilvl="4">
      <w:start w:val="1"/>
      <w:numFmt w:val="decimal"/>
      <w:lvlText w:val="%1.%2.%3.%4.%5"/>
      <w:lvlJc w:val="left"/>
      <w:pPr>
        <w:ind w:left="1080" w:hanging="1080"/>
      </w:pPr>
      <w:rPr>
        <w:rFonts w:eastAsia="Times New Roman"/>
        <w:strike w:val="0"/>
        <w:dstrike w:val="0"/>
        <w:u w:val="none"/>
        <w:effect w:val="none"/>
      </w:rPr>
    </w:lvl>
    <w:lvl w:ilvl="5">
      <w:start w:val="1"/>
      <w:numFmt w:val="decimal"/>
      <w:lvlText w:val="%1.%2.%3.%4.%5.%6"/>
      <w:lvlJc w:val="left"/>
      <w:pPr>
        <w:ind w:left="1080" w:hanging="1080"/>
      </w:pPr>
      <w:rPr>
        <w:rFonts w:eastAsia="Times New Roman"/>
        <w:strike w:val="0"/>
        <w:dstrike w:val="0"/>
        <w:u w:val="none"/>
        <w:effect w:val="none"/>
      </w:rPr>
    </w:lvl>
    <w:lvl w:ilvl="6">
      <w:start w:val="1"/>
      <w:numFmt w:val="decimal"/>
      <w:lvlText w:val="%1.%2.%3.%4.%5.%6.%7"/>
      <w:lvlJc w:val="left"/>
      <w:pPr>
        <w:ind w:left="1440" w:hanging="1440"/>
      </w:pPr>
      <w:rPr>
        <w:rFonts w:eastAsia="Times New Roman"/>
        <w:strike w:val="0"/>
        <w:dstrike w:val="0"/>
        <w:u w:val="none"/>
        <w:effect w:val="none"/>
      </w:rPr>
    </w:lvl>
    <w:lvl w:ilvl="7">
      <w:start w:val="1"/>
      <w:numFmt w:val="decimal"/>
      <w:lvlText w:val="%1.%2.%3.%4.%5.%6.%7.%8"/>
      <w:lvlJc w:val="left"/>
      <w:pPr>
        <w:ind w:left="1440" w:hanging="1440"/>
      </w:pPr>
      <w:rPr>
        <w:rFonts w:eastAsia="Times New Roman"/>
        <w:strike w:val="0"/>
        <w:dstrike w:val="0"/>
        <w:u w:val="none"/>
        <w:effect w:val="none"/>
      </w:rPr>
    </w:lvl>
    <w:lvl w:ilvl="8">
      <w:start w:val="1"/>
      <w:numFmt w:val="decimal"/>
      <w:lvlText w:val="%1.%2.%3.%4.%5.%6.%7.%8.%9"/>
      <w:lvlJc w:val="left"/>
      <w:pPr>
        <w:ind w:left="1800" w:hanging="1800"/>
      </w:pPr>
      <w:rPr>
        <w:rFonts w:eastAsia="Times New Roman"/>
        <w:strike w:val="0"/>
        <w:dstrike w:val="0"/>
        <w:u w:val="none"/>
        <w:effect w:val="none"/>
      </w:rPr>
    </w:lvl>
  </w:abstractNum>
  <w:abstractNum w:abstractNumId="2" w15:restartNumberingAfterBreak="0">
    <w:nsid w:val="11081693"/>
    <w:multiLevelType w:val="hybridMultilevel"/>
    <w:tmpl w:val="DC1235A2"/>
    <w:lvl w:ilvl="0" w:tplc="5F022E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31350"/>
    <w:multiLevelType w:val="hybridMultilevel"/>
    <w:tmpl w:val="262A860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1B070D"/>
    <w:multiLevelType w:val="hybridMultilevel"/>
    <w:tmpl w:val="36BE89C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05B35F3"/>
    <w:multiLevelType w:val="multilevel"/>
    <w:tmpl w:val="CA0A64C0"/>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6" w15:restartNumberingAfterBreak="0">
    <w:nsid w:val="481F0433"/>
    <w:multiLevelType w:val="hybridMultilevel"/>
    <w:tmpl w:val="E74041F6"/>
    <w:lvl w:ilvl="0" w:tplc="D1F2CB08">
      <w:start w:val="1"/>
      <w:numFmt w:val="decimal"/>
      <w:lvlText w:val="%1."/>
      <w:lvlJc w:val="left"/>
      <w:pPr>
        <w:ind w:left="720" w:hanging="360"/>
      </w:pPr>
      <w:rPr>
        <w:b/>
        <w:bCs/>
        <w:sz w:val="22"/>
        <w:szCs w:val="22"/>
      </w:rPr>
    </w:lvl>
    <w:lvl w:ilvl="1" w:tplc="BA7225F4">
      <w:start w:val="1"/>
      <w:numFmt w:val="lowerLetter"/>
      <w:lvlText w:val="(%2)"/>
      <w:lvlJc w:val="left"/>
      <w:pPr>
        <w:ind w:left="1440" w:hanging="360"/>
      </w:pPr>
      <w:rPr>
        <w:b w:val="0"/>
      </w:rPr>
    </w:lvl>
    <w:lvl w:ilvl="2" w:tplc="C6A4FC6C">
      <w:start w:val="1"/>
      <w:numFmt w:val="lowerRoman"/>
      <w:lvlText w:val="%3."/>
      <w:lvlJc w:val="lef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4DD10B39"/>
    <w:multiLevelType w:val="hybridMultilevel"/>
    <w:tmpl w:val="6526F2D6"/>
    <w:lvl w:ilvl="0" w:tplc="12360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D3A7A"/>
    <w:multiLevelType w:val="hybridMultilevel"/>
    <w:tmpl w:val="21120022"/>
    <w:lvl w:ilvl="0" w:tplc="B8008E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603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2713487">
    <w:abstractNumId w:val="3"/>
  </w:num>
  <w:num w:numId="3" w16cid:durableId="1418557795">
    <w:abstractNumId w:val="2"/>
  </w:num>
  <w:num w:numId="4" w16cid:durableId="1151797127">
    <w:abstractNumId w:val="7"/>
  </w:num>
  <w:num w:numId="5" w16cid:durableId="109937649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7617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3250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1314906">
    <w:abstractNumId w:val="3"/>
  </w:num>
  <w:num w:numId="9" w16cid:durableId="2028092004">
    <w:abstractNumId w:val="0"/>
  </w:num>
  <w:num w:numId="10" w16cid:durableId="1205217529">
    <w:abstractNumId w:val="6"/>
  </w:num>
  <w:num w:numId="11" w16cid:durableId="1973511607">
    <w:abstractNumId w:val="8"/>
  </w:num>
  <w:num w:numId="12" w16cid:durableId="1216813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36"/>
    <w:rsid w:val="00031588"/>
    <w:rsid w:val="000A0674"/>
    <w:rsid w:val="000F2536"/>
    <w:rsid w:val="000F58AC"/>
    <w:rsid w:val="0013546F"/>
    <w:rsid w:val="001A5353"/>
    <w:rsid w:val="00280957"/>
    <w:rsid w:val="00296518"/>
    <w:rsid w:val="002A452A"/>
    <w:rsid w:val="00315A2F"/>
    <w:rsid w:val="00397F2B"/>
    <w:rsid w:val="003F6591"/>
    <w:rsid w:val="00403CB5"/>
    <w:rsid w:val="004530D1"/>
    <w:rsid w:val="004549DB"/>
    <w:rsid w:val="00474236"/>
    <w:rsid w:val="00496DD9"/>
    <w:rsid w:val="004F1690"/>
    <w:rsid w:val="00533846"/>
    <w:rsid w:val="00594C2F"/>
    <w:rsid w:val="005C3644"/>
    <w:rsid w:val="005D76FF"/>
    <w:rsid w:val="00641366"/>
    <w:rsid w:val="0065588A"/>
    <w:rsid w:val="006E023E"/>
    <w:rsid w:val="006E6411"/>
    <w:rsid w:val="00706DE6"/>
    <w:rsid w:val="007B634C"/>
    <w:rsid w:val="007B72FD"/>
    <w:rsid w:val="007C650F"/>
    <w:rsid w:val="0081305A"/>
    <w:rsid w:val="00821B7F"/>
    <w:rsid w:val="00876077"/>
    <w:rsid w:val="008C2264"/>
    <w:rsid w:val="008C2843"/>
    <w:rsid w:val="00926CAA"/>
    <w:rsid w:val="009C34B5"/>
    <w:rsid w:val="009E7A5A"/>
    <w:rsid w:val="009F2FCA"/>
    <w:rsid w:val="00AA13FF"/>
    <w:rsid w:val="00B07C57"/>
    <w:rsid w:val="00BA1D6B"/>
    <w:rsid w:val="00BC0DB9"/>
    <w:rsid w:val="00BD6DBA"/>
    <w:rsid w:val="00CA3218"/>
    <w:rsid w:val="00D204F5"/>
    <w:rsid w:val="00DC18A0"/>
    <w:rsid w:val="00DE0086"/>
    <w:rsid w:val="00E64ECD"/>
    <w:rsid w:val="00E81DD1"/>
    <w:rsid w:val="00EC5E3C"/>
    <w:rsid w:val="00F566F8"/>
    <w:rsid w:val="00F6656F"/>
    <w:rsid w:val="00FA7728"/>
    <w:rsid w:val="00FB5295"/>
    <w:rsid w:val="00FC3619"/>
    <w:rsid w:val="00FE785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FF13"/>
  <w15:chartTrackingRefBased/>
  <w15:docId w15:val="{B4C8B9E3-D840-4039-A5E6-442EE86C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vStds"/>
    <w:qFormat/>
    <w:rsid w:val="00474236"/>
    <w:pPr>
      <w:spacing w:after="0" w:line="240" w:lineRule="auto"/>
    </w:pPr>
    <w:rPr>
      <w:rFonts w:ascii="Arial" w:eastAsia="Times New Roman" w:hAnsi="Arial" w:cs="Times New Roman"/>
      <w:sz w:val="20"/>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TitleChar">
    <w:name w:val="Document Title Char"/>
    <w:basedOn w:val="DefaultParagraphFont"/>
    <w:link w:val="DocumentTitle"/>
    <w:rsid w:val="00474236"/>
    <w:rPr>
      <w:rFonts w:ascii="Arial" w:hAnsi="Arial"/>
      <w:b/>
      <w:color w:val="000000"/>
      <w:sz w:val="32"/>
      <w:szCs w:val="24"/>
    </w:rPr>
  </w:style>
  <w:style w:type="paragraph" w:customStyle="1" w:styleId="DocumentTitle">
    <w:name w:val="Document Title"/>
    <w:link w:val="DocumentTitleChar"/>
    <w:qFormat/>
    <w:rsid w:val="00474236"/>
    <w:pPr>
      <w:spacing w:before="120" w:after="240" w:line="240" w:lineRule="auto"/>
      <w:jc w:val="center"/>
      <w:outlineLvl w:val="0"/>
    </w:pPr>
    <w:rPr>
      <w:rFonts w:ascii="Arial" w:hAnsi="Arial"/>
      <w:b/>
      <w:color w:val="000000"/>
      <w:sz w:val="32"/>
      <w:szCs w:val="24"/>
    </w:rPr>
  </w:style>
  <w:style w:type="paragraph" w:customStyle="1" w:styleId="Body">
    <w:name w:val="Body"/>
    <w:basedOn w:val="Normal"/>
    <w:rsid w:val="00474236"/>
    <w:pPr>
      <w:spacing w:after="140" w:line="288" w:lineRule="auto"/>
      <w:jc w:val="both"/>
    </w:pPr>
    <w:rPr>
      <w:kern w:val="20"/>
    </w:rPr>
  </w:style>
  <w:style w:type="paragraph" w:styleId="BodyText">
    <w:name w:val="Body Text"/>
    <w:basedOn w:val="Normal"/>
    <w:link w:val="BodyTextChar"/>
    <w:unhideWhenUsed/>
    <w:rsid w:val="00641366"/>
    <w:pPr>
      <w:widowControl w:val="0"/>
      <w:tabs>
        <w:tab w:val="left" w:pos="-720"/>
        <w:tab w:val="left" w:pos="0"/>
        <w:tab w:val="left" w:pos="720"/>
      </w:tabs>
      <w:ind w:right="29"/>
    </w:pPr>
    <w:rPr>
      <w:sz w:val="22"/>
      <w:szCs w:val="20"/>
      <w:lang w:val="en-AU" w:eastAsia="en-US"/>
    </w:rPr>
  </w:style>
  <w:style w:type="character" w:customStyle="1" w:styleId="BodyTextChar">
    <w:name w:val="Body Text Char"/>
    <w:basedOn w:val="DefaultParagraphFont"/>
    <w:link w:val="BodyText"/>
    <w:rsid w:val="00641366"/>
    <w:rPr>
      <w:rFonts w:ascii="Arial" w:eastAsia="Times New Roman" w:hAnsi="Arial" w:cs="Times New Roman"/>
      <w:szCs w:val="20"/>
      <w:lang w:val="en-AU" w:bidi="ar-SA"/>
    </w:rPr>
  </w:style>
  <w:style w:type="character" w:customStyle="1" w:styleId="ListParagraphChar">
    <w:name w:val="List Paragraph Char"/>
    <w:aliases w:val="Bullets Char,List Paragraph1 Char,Resume Title Char,Use Case List Paragraph Char,Ref Char,Bullet List Paragraph Char,List Paragraph11 Char,List Paragraph Option Char,List Paragraph111 Char,EG Bullet 1 Char,Equipment Char,b1 Char"/>
    <w:link w:val="ListParagraph"/>
    <w:uiPriority w:val="34"/>
    <w:qFormat/>
    <w:locked/>
    <w:rsid w:val="00641366"/>
    <w:rPr>
      <w:rFonts w:ascii="Arial" w:eastAsiaTheme="minorEastAsia" w:hAnsi="Arial" w:cs="Times New Roman"/>
      <w:sz w:val="20"/>
      <w:szCs w:val="24"/>
      <w:lang w:val="en-GB" w:eastAsia="en-GB" w:bidi="ar-SA"/>
    </w:rPr>
  </w:style>
  <w:style w:type="paragraph" w:styleId="ListParagraph">
    <w:name w:val="List Paragraph"/>
    <w:aliases w:val="Bullets,List Paragraph1,Resume Title,Use Case List Paragraph,Ref,Bullet List Paragraph,List Paragraph11,List Paragraph Option,List Paragraph111,EG Bullet 1,Equipment,Bullet List,FooterText,Bulleted List1,b1,Bullet for no #'s,Body Bullet"/>
    <w:basedOn w:val="Normal"/>
    <w:link w:val="ListParagraphChar"/>
    <w:uiPriority w:val="34"/>
    <w:qFormat/>
    <w:rsid w:val="00641366"/>
    <w:pPr>
      <w:ind w:left="720"/>
      <w:contextualSpacing/>
    </w:pPr>
    <w:rPr>
      <w:rFonts w:eastAsiaTheme="minorEastAsia"/>
    </w:rPr>
  </w:style>
  <w:style w:type="table" w:styleId="GridTable4-Accent3">
    <w:name w:val="Grid Table 4 Accent 3"/>
    <w:basedOn w:val="TableNormal"/>
    <w:uiPriority w:val="49"/>
    <w:rsid w:val="00641366"/>
    <w:pPr>
      <w:spacing w:after="0" w:line="240" w:lineRule="auto"/>
    </w:p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odyTextIndent2">
    <w:name w:val="Body Text Indent 2"/>
    <w:basedOn w:val="Normal"/>
    <w:link w:val="BodyTextIndent2Char"/>
    <w:uiPriority w:val="99"/>
    <w:semiHidden/>
    <w:unhideWhenUsed/>
    <w:rsid w:val="007B634C"/>
    <w:pPr>
      <w:spacing w:after="120" w:line="480" w:lineRule="auto"/>
      <w:ind w:left="283"/>
    </w:pPr>
  </w:style>
  <w:style w:type="character" w:customStyle="1" w:styleId="BodyTextIndent2Char">
    <w:name w:val="Body Text Indent 2 Char"/>
    <w:basedOn w:val="DefaultParagraphFont"/>
    <w:link w:val="BodyTextIndent2"/>
    <w:uiPriority w:val="99"/>
    <w:semiHidden/>
    <w:rsid w:val="007B634C"/>
    <w:rPr>
      <w:rFonts w:ascii="Arial" w:eastAsia="Times New Roman" w:hAnsi="Arial" w:cs="Times New Roman"/>
      <w:sz w:val="20"/>
      <w:szCs w:val="24"/>
      <w:lang w:val="en-GB" w:eastAsia="en-GB" w:bidi="ar-SA"/>
    </w:rPr>
  </w:style>
  <w:style w:type="character" w:styleId="Hyperlink">
    <w:name w:val="Hyperlink"/>
    <w:unhideWhenUsed/>
    <w:rsid w:val="007C650F"/>
    <w:rPr>
      <w:color w:val="0000FF"/>
      <w:u w:val="single"/>
    </w:rPr>
  </w:style>
  <w:style w:type="character" w:styleId="UnresolvedMention">
    <w:name w:val="Unresolved Mention"/>
    <w:basedOn w:val="DefaultParagraphFont"/>
    <w:uiPriority w:val="99"/>
    <w:semiHidden/>
    <w:unhideWhenUsed/>
    <w:rsid w:val="00280957"/>
    <w:rPr>
      <w:color w:val="605E5C"/>
      <w:shd w:val="clear" w:color="auto" w:fill="E1DFDD"/>
    </w:rPr>
  </w:style>
  <w:style w:type="table" w:styleId="TableGrid">
    <w:name w:val="Table Grid"/>
    <w:basedOn w:val="TableNormal"/>
    <w:rsid w:val="006E6411"/>
    <w:pPr>
      <w:spacing w:after="0" w:line="240" w:lineRule="auto"/>
    </w:pPr>
    <w:rPr>
      <w:rFonts w:ascii="Times New Roman" w:eastAsia="SimSun" w:hAnsi="Times New Roman" w:cs="Times New Roman"/>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D76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7919">
      <w:bodyDiv w:val="1"/>
      <w:marLeft w:val="0"/>
      <w:marRight w:val="0"/>
      <w:marTop w:val="0"/>
      <w:marBottom w:val="0"/>
      <w:divBdr>
        <w:top w:val="none" w:sz="0" w:space="0" w:color="auto"/>
        <w:left w:val="none" w:sz="0" w:space="0" w:color="auto"/>
        <w:bottom w:val="none" w:sz="0" w:space="0" w:color="auto"/>
        <w:right w:val="none" w:sz="0" w:space="0" w:color="auto"/>
      </w:divBdr>
    </w:div>
    <w:div w:id="349768704">
      <w:bodyDiv w:val="1"/>
      <w:marLeft w:val="0"/>
      <w:marRight w:val="0"/>
      <w:marTop w:val="0"/>
      <w:marBottom w:val="0"/>
      <w:divBdr>
        <w:top w:val="none" w:sz="0" w:space="0" w:color="auto"/>
        <w:left w:val="none" w:sz="0" w:space="0" w:color="auto"/>
        <w:bottom w:val="none" w:sz="0" w:space="0" w:color="auto"/>
        <w:right w:val="none" w:sz="0" w:space="0" w:color="auto"/>
      </w:divBdr>
    </w:div>
    <w:div w:id="370495464">
      <w:bodyDiv w:val="1"/>
      <w:marLeft w:val="0"/>
      <w:marRight w:val="0"/>
      <w:marTop w:val="0"/>
      <w:marBottom w:val="0"/>
      <w:divBdr>
        <w:top w:val="none" w:sz="0" w:space="0" w:color="auto"/>
        <w:left w:val="none" w:sz="0" w:space="0" w:color="auto"/>
        <w:bottom w:val="none" w:sz="0" w:space="0" w:color="auto"/>
        <w:right w:val="none" w:sz="0" w:space="0" w:color="auto"/>
      </w:divBdr>
    </w:div>
    <w:div w:id="381175146">
      <w:bodyDiv w:val="1"/>
      <w:marLeft w:val="0"/>
      <w:marRight w:val="0"/>
      <w:marTop w:val="0"/>
      <w:marBottom w:val="0"/>
      <w:divBdr>
        <w:top w:val="none" w:sz="0" w:space="0" w:color="auto"/>
        <w:left w:val="none" w:sz="0" w:space="0" w:color="auto"/>
        <w:bottom w:val="none" w:sz="0" w:space="0" w:color="auto"/>
        <w:right w:val="none" w:sz="0" w:space="0" w:color="auto"/>
      </w:divBdr>
    </w:div>
    <w:div w:id="522398300">
      <w:bodyDiv w:val="1"/>
      <w:marLeft w:val="0"/>
      <w:marRight w:val="0"/>
      <w:marTop w:val="0"/>
      <w:marBottom w:val="0"/>
      <w:divBdr>
        <w:top w:val="none" w:sz="0" w:space="0" w:color="auto"/>
        <w:left w:val="none" w:sz="0" w:space="0" w:color="auto"/>
        <w:bottom w:val="none" w:sz="0" w:space="0" w:color="auto"/>
        <w:right w:val="none" w:sz="0" w:space="0" w:color="auto"/>
      </w:divBdr>
    </w:div>
    <w:div w:id="870344684">
      <w:bodyDiv w:val="1"/>
      <w:marLeft w:val="0"/>
      <w:marRight w:val="0"/>
      <w:marTop w:val="0"/>
      <w:marBottom w:val="0"/>
      <w:divBdr>
        <w:top w:val="none" w:sz="0" w:space="0" w:color="auto"/>
        <w:left w:val="none" w:sz="0" w:space="0" w:color="auto"/>
        <w:bottom w:val="none" w:sz="0" w:space="0" w:color="auto"/>
        <w:right w:val="none" w:sz="0" w:space="0" w:color="auto"/>
      </w:divBdr>
    </w:div>
    <w:div w:id="928002485">
      <w:bodyDiv w:val="1"/>
      <w:marLeft w:val="0"/>
      <w:marRight w:val="0"/>
      <w:marTop w:val="0"/>
      <w:marBottom w:val="0"/>
      <w:divBdr>
        <w:top w:val="none" w:sz="0" w:space="0" w:color="auto"/>
        <w:left w:val="none" w:sz="0" w:space="0" w:color="auto"/>
        <w:bottom w:val="none" w:sz="0" w:space="0" w:color="auto"/>
        <w:right w:val="none" w:sz="0" w:space="0" w:color="auto"/>
      </w:divBdr>
    </w:div>
    <w:div w:id="1060597014">
      <w:bodyDiv w:val="1"/>
      <w:marLeft w:val="0"/>
      <w:marRight w:val="0"/>
      <w:marTop w:val="0"/>
      <w:marBottom w:val="0"/>
      <w:divBdr>
        <w:top w:val="none" w:sz="0" w:space="0" w:color="auto"/>
        <w:left w:val="none" w:sz="0" w:space="0" w:color="auto"/>
        <w:bottom w:val="none" w:sz="0" w:space="0" w:color="auto"/>
        <w:right w:val="none" w:sz="0" w:space="0" w:color="auto"/>
      </w:divBdr>
    </w:div>
    <w:div w:id="1201939742">
      <w:bodyDiv w:val="1"/>
      <w:marLeft w:val="0"/>
      <w:marRight w:val="0"/>
      <w:marTop w:val="0"/>
      <w:marBottom w:val="0"/>
      <w:divBdr>
        <w:top w:val="none" w:sz="0" w:space="0" w:color="auto"/>
        <w:left w:val="none" w:sz="0" w:space="0" w:color="auto"/>
        <w:bottom w:val="none" w:sz="0" w:space="0" w:color="auto"/>
        <w:right w:val="none" w:sz="0" w:space="0" w:color="auto"/>
      </w:divBdr>
    </w:div>
    <w:div w:id="1230114686">
      <w:bodyDiv w:val="1"/>
      <w:marLeft w:val="0"/>
      <w:marRight w:val="0"/>
      <w:marTop w:val="0"/>
      <w:marBottom w:val="0"/>
      <w:divBdr>
        <w:top w:val="none" w:sz="0" w:space="0" w:color="auto"/>
        <w:left w:val="none" w:sz="0" w:space="0" w:color="auto"/>
        <w:bottom w:val="none" w:sz="0" w:space="0" w:color="auto"/>
        <w:right w:val="none" w:sz="0" w:space="0" w:color="auto"/>
      </w:divBdr>
    </w:div>
    <w:div w:id="1231115010">
      <w:bodyDiv w:val="1"/>
      <w:marLeft w:val="0"/>
      <w:marRight w:val="0"/>
      <w:marTop w:val="0"/>
      <w:marBottom w:val="0"/>
      <w:divBdr>
        <w:top w:val="none" w:sz="0" w:space="0" w:color="auto"/>
        <w:left w:val="none" w:sz="0" w:space="0" w:color="auto"/>
        <w:bottom w:val="none" w:sz="0" w:space="0" w:color="auto"/>
        <w:right w:val="none" w:sz="0" w:space="0" w:color="auto"/>
      </w:divBdr>
    </w:div>
    <w:div w:id="1265041929">
      <w:bodyDiv w:val="1"/>
      <w:marLeft w:val="0"/>
      <w:marRight w:val="0"/>
      <w:marTop w:val="0"/>
      <w:marBottom w:val="0"/>
      <w:divBdr>
        <w:top w:val="none" w:sz="0" w:space="0" w:color="auto"/>
        <w:left w:val="none" w:sz="0" w:space="0" w:color="auto"/>
        <w:bottom w:val="none" w:sz="0" w:space="0" w:color="auto"/>
        <w:right w:val="none" w:sz="0" w:space="0" w:color="auto"/>
      </w:divBdr>
    </w:div>
    <w:div w:id="1629507708">
      <w:bodyDiv w:val="1"/>
      <w:marLeft w:val="0"/>
      <w:marRight w:val="0"/>
      <w:marTop w:val="0"/>
      <w:marBottom w:val="0"/>
      <w:divBdr>
        <w:top w:val="none" w:sz="0" w:space="0" w:color="auto"/>
        <w:left w:val="none" w:sz="0" w:space="0" w:color="auto"/>
        <w:bottom w:val="none" w:sz="0" w:space="0" w:color="auto"/>
        <w:right w:val="none" w:sz="0" w:space="0" w:color="auto"/>
      </w:divBdr>
    </w:div>
    <w:div w:id="1645696193">
      <w:bodyDiv w:val="1"/>
      <w:marLeft w:val="0"/>
      <w:marRight w:val="0"/>
      <w:marTop w:val="0"/>
      <w:marBottom w:val="0"/>
      <w:divBdr>
        <w:top w:val="none" w:sz="0" w:space="0" w:color="auto"/>
        <w:left w:val="none" w:sz="0" w:space="0" w:color="auto"/>
        <w:bottom w:val="none" w:sz="0" w:space="0" w:color="auto"/>
        <w:right w:val="none" w:sz="0" w:space="0" w:color="auto"/>
      </w:divBdr>
    </w:div>
    <w:div w:id="1853493265">
      <w:bodyDiv w:val="1"/>
      <w:marLeft w:val="0"/>
      <w:marRight w:val="0"/>
      <w:marTop w:val="0"/>
      <w:marBottom w:val="0"/>
      <w:divBdr>
        <w:top w:val="none" w:sz="0" w:space="0" w:color="auto"/>
        <w:left w:val="none" w:sz="0" w:space="0" w:color="auto"/>
        <w:bottom w:val="none" w:sz="0" w:space="0" w:color="auto"/>
        <w:right w:val="none" w:sz="0" w:space="0" w:color="auto"/>
      </w:divBdr>
    </w:div>
    <w:div w:id="1921014993">
      <w:bodyDiv w:val="1"/>
      <w:marLeft w:val="0"/>
      <w:marRight w:val="0"/>
      <w:marTop w:val="0"/>
      <w:marBottom w:val="0"/>
      <w:divBdr>
        <w:top w:val="none" w:sz="0" w:space="0" w:color="auto"/>
        <w:left w:val="none" w:sz="0" w:space="0" w:color="auto"/>
        <w:bottom w:val="none" w:sz="0" w:space="0" w:color="auto"/>
        <w:right w:val="none" w:sz="0" w:space="0" w:color="auto"/>
      </w:divBdr>
    </w:div>
    <w:div w:id="213478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d@tnsd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Periyasamy M</dc:creator>
  <cp:keywords/>
  <dc:description/>
  <cp:lastModifiedBy>Periyasamy M</cp:lastModifiedBy>
  <cp:revision>50</cp:revision>
  <dcterms:created xsi:type="dcterms:W3CDTF">2022-11-30T10:02:00Z</dcterms:created>
  <dcterms:modified xsi:type="dcterms:W3CDTF">2023-01-05T08:08:00Z</dcterms:modified>
</cp:coreProperties>
</file>